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99ADD" w14:textId="77777777" w:rsidR="00311E94" w:rsidRPr="003A7254" w:rsidRDefault="0007659A">
      <w:pPr>
        <w:rPr>
          <w:rFonts w:ascii="Century Gothic" w:hAnsi="Century Gothic"/>
        </w:rPr>
      </w:pPr>
      <w:r w:rsidRPr="003A7254">
        <w:rPr>
          <w:rFonts w:ascii="Century Gothic" w:hAnsi="Century Gothic"/>
          <w:noProof/>
          <w:lang w:eastAsia="es-EC"/>
        </w:rPr>
        <w:drawing>
          <wp:anchor distT="0" distB="0" distL="114300" distR="114300" simplePos="0" relativeHeight="251654144" behindDoc="1" locked="0" layoutInCell="1" allowOverlap="1" wp14:anchorId="66D2244D" wp14:editId="26C7902A">
            <wp:simplePos x="0" y="0"/>
            <wp:positionH relativeFrom="margin">
              <wp:align>center</wp:align>
            </wp:positionH>
            <wp:positionV relativeFrom="margin">
              <wp:align>center</wp:align>
            </wp:positionV>
            <wp:extent cx="7562051" cy="10688547"/>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62051" cy="10688547"/>
                    </a:xfrm>
                    <a:prstGeom prst="rect">
                      <a:avLst/>
                    </a:prstGeom>
                  </pic:spPr>
                </pic:pic>
              </a:graphicData>
            </a:graphic>
            <wp14:sizeRelH relativeFrom="page">
              <wp14:pctWidth>0</wp14:pctWidth>
            </wp14:sizeRelH>
            <wp14:sizeRelV relativeFrom="page">
              <wp14:pctHeight>0</wp14:pctHeight>
            </wp14:sizeRelV>
          </wp:anchor>
        </w:drawing>
      </w:r>
    </w:p>
    <w:p w14:paraId="1EF6F84A" w14:textId="77777777" w:rsidR="0007659A" w:rsidRPr="003A7254" w:rsidRDefault="0007659A">
      <w:pPr>
        <w:rPr>
          <w:rFonts w:ascii="Century Gothic" w:hAnsi="Century Gothic"/>
        </w:rPr>
      </w:pPr>
    </w:p>
    <w:p w14:paraId="039FE6DC" w14:textId="77777777" w:rsidR="0007659A" w:rsidRPr="003A7254" w:rsidRDefault="0007659A">
      <w:pPr>
        <w:rPr>
          <w:rFonts w:ascii="Century Gothic" w:hAnsi="Century Gothic"/>
        </w:rPr>
      </w:pPr>
    </w:p>
    <w:p w14:paraId="28682D56" w14:textId="77777777" w:rsidR="0007659A" w:rsidRPr="003A7254" w:rsidRDefault="0007659A">
      <w:pPr>
        <w:rPr>
          <w:rFonts w:ascii="Century Gothic" w:hAnsi="Century Gothic"/>
        </w:rPr>
      </w:pPr>
    </w:p>
    <w:p w14:paraId="3FA0048C" w14:textId="77777777" w:rsidR="0007659A" w:rsidRPr="003A7254" w:rsidRDefault="0007659A">
      <w:pPr>
        <w:rPr>
          <w:rFonts w:ascii="Century Gothic" w:hAnsi="Century Gothic"/>
        </w:rPr>
      </w:pPr>
    </w:p>
    <w:p w14:paraId="78DB538F" w14:textId="77777777" w:rsidR="0007659A" w:rsidRPr="003A7254" w:rsidRDefault="0007659A">
      <w:pPr>
        <w:rPr>
          <w:rFonts w:ascii="Century Gothic" w:hAnsi="Century Gothic"/>
        </w:rPr>
      </w:pPr>
    </w:p>
    <w:p w14:paraId="112199F3" w14:textId="77777777" w:rsidR="0007659A" w:rsidRPr="003A7254" w:rsidRDefault="0007659A">
      <w:pPr>
        <w:rPr>
          <w:rFonts w:ascii="Century Gothic" w:hAnsi="Century Gothic"/>
        </w:rPr>
      </w:pPr>
    </w:p>
    <w:p w14:paraId="511BC2A3" w14:textId="77777777" w:rsidR="0007659A" w:rsidRPr="003A7254" w:rsidRDefault="0007659A">
      <w:pPr>
        <w:rPr>
          <w:rFonts w:ascii="Century Gothic" w:hAnsi="Century Gothic"/>
        </w:rPr>
      </w:pPr>
    </w:p>
    <w:p w14:paraId="3106CC5F" w14:textId="77777777" w:rsidR="0007659A" w:rsidRPr="003A7254" w:rsidRDefault="0007659A">
      <w:pPr>
        <w:rPr>
          <w:rFonts w:ascii="Century Gothic" w:hAnsi="Century Gothic"/>
        </w:rPr>
      </w:pPr>
    </w:p>
    <w:p w14:paraId="6CDB143A" w14:textId="77777777" w:rsidR="0007659A" w:rsidRPr="003A7254" w:rsidRDefault="0007659A">
      <w:pPr>
        <w:rPr>
          <w:rFonts w:ascii="Century Gothic" w:hAnsi="Century Gothic"/>
        </w:rPr>
      </w:pPr>
    </w:p>
    <w:p w14:paraId="2BA3EC5C" w14:textId="77777777" w:rsidR="0007659A" w:rsidRPr="003A7254" w:rsidRDefault="0007659A">
      <w:pPr>
        <w:rPr>
          <w:rFonts w:ascii="Century Gothic" w:hAnsi="Century Gothic"/>
        </w:rPr>
      </w:pPr>
    </w:p>
    <w:p w14:paraId="4AAF3F7E" w14:textId="77777777" w:rsidR="0007659A" w:rsidRPr="003A7254" w:rsidRDefault="0007659A">
      <w:pPr>
        <w:rPr>
          <w:rFonts w:ascii="Century Gothic" w:hAnsi="Century Gothic"/>
          <w:color w:val="505A64"/>
        </w:rPr>
      </w:pPr>
    </w:p>
    <w:p w14:paraId="402395D9" w14:textId="77777777" w:rsidR="0007659A" w:rsidRPr="003A7254" w:rsidRDefault="0007659A">
      <w:pPr>
        <w:rPr>
          <w:rFonts w:ascii="Century Gothic" w:hAnsi="Century Gothic"/>
          <w:color w:val="505A64"/>
        </w:rPr>
      </w:pPr>
    </w:p>
    <w:p w14:paraId="30386DD7" w14:textId="77777777" w:rsidR="0007659A" w:rsidRPr="003A7254" w:rsidRDefault="0007659A">
      <w:pPr>
        <w:rPr>
          <w:rFonts w:ascii="Century Gothic" w:hAnsi="Century Gothic"/>
          <w:color w:val="505A64"/>
        </w:rPr>
      </w:pPr>
    </w:p>
    <w:p w14:paraId="7FDA99EF" w14:textId="77777777" w:rsidR="0007659A" w:rsidRPr="003A7254" w:rsidRDefault="0007659A">
      <w:pPr>
        <w:rPr>
          <w:rFonts w:ascii="Century Gothic" w:hAnsi="Century Gothic"/>
          <w:color w:val="505A64"/>
        </w:rPr>
      </w:pPr>
    </w:p>
    <w:p w14:paraId="005054F2" w14:textId="77777777" w:rsidR="0007659A" w:rsidRPr="003A7254" w:rsidRDefault="0007659A">
      <w:pPr>
        <w:rPr>
          <w:rFonts w:ascii="Century Gothic" w:hAnsi="Century Gothic"/>
          <w:color w:val="505A64"/>
        </w:rPr>
      </w:pPr>
    </w:p>
    <w:p w14:paraId="24D789C7" w14:textId="77777777" w:rsidR="0007659A" w:rsidRPr="003A7254" w:rsidRDefault="0007659A">
      <w:pPr>
        <w:rPr>
          <w:rFonts w:ascii="Century Gothic" w:hAnsi="Century Gothic"/>
          <w:color w:val="505A64"/>
        </w:rPr>
      </w:pPr>
    </w:p>
    <w:p w14:paraId="7BCD642B" w14:textId="77777777" w:rsidR="0007659A" w:rsidRPr="003A7254" w:rsidRDefault="0007659A">
      <w:pPr>
        <w:rPr>
          <w:rFonts w:ascii="Century Gothic" w:hAnsi="Century Gothic"/>
          <w:color w:val="505A64"/>
        </w:rPr>
      </w:pPr>
    </w:p>
    <w:p w14:paraId="1188BBC9" w14:textId="77777777" w:rsidR="0007659A" w:rsidRPr="003A7254" w:rsidRDefault="0007659A">
      <w:pPr>
        <w:rPr>
          <w:rFonts w:ascii="Century Gothic" w:hAnsi="Century Gothic"/>
          <w:color w:val="505A64"/>
        </w:rPr>
      </w:pPr>
    </w:p>
    <w:p w14:paraId="4598D2BB" w14:textId="77777777" w:rsidR="0007659A" w:rsidRPr="003A7254" w:rsidRDefault="0007659A">
      <w:pPr>
        <w:rPr>
          <w:rFonts w:ascii="Century Gothic" w:hAnsi="Century Gothic"/>
          <w:color w:val="505A64"/>
        </w:rPr>
      </w:pPr>
    </w:p>
    <w:p w14:paraId="12D91911" w14:textId="77777777" w:rsidR="0007659A" w:rsidRPr="003A7254" w:rsidRDefault="0007659A">
      <w:pPr>
        <w:rPr>
          <w:rFonts w:ascii="Century Gothic" w:hAnsi="Century Gothic"/>
          <w:color w:val="505A64"/>
        </w:rPr>
      </w:pPr>
    </w:p>
    <w:p w14:paraId="2DA35F71" w14:textId="77777777" w:rsidR="0007659A" w:rsidRPr="003A7254" w:rsidRDefault="0007659A">
      <w:pPr>
        <w:rPr>
          <w:rFonts w:ascii="Century Gothic" w:hAnsi="Century Gothic"/>
          <w:color w:val="505A64"/>
        </w:rPr>
      </w:pPr>
    </w:p>
    <w:p w14:paraId="6F9149B7" w14:textId="77777777" w:rsidR="0007659A" w:rsidRPr="003A7254" w:rsidRDefault="0007659A">
      <w:pPr>
        <w:rPr>
          <w:rFonts w:ascii="Century Gothic" w:hAnsi="Century Gothic"/>
          <w:color w:val="505A64"/>
        </w:rPr>
      </w:pPr>
    </w:p>
    <w:p w14:paraId="33C5DF40" w14:textId="77777777" w:rsidR="0007659A" w:rsidRPr="003A7254" w:rsidRDefault="0007659A">
      <w:pPr>
        <w:rPr>
          <w:rFonts w:ascii="Century Gothic" w:hAnsi="Century Gothic"/>
          <w:color w:val="505A64"/>
        </w:rPr>
      </w:pPr>
    </w:p>
    <w:p w14:paraId="49127823" w14:textId="77777777" w:rsidR="0007659A" w:rsidRPr="003A7254" w:rsidRDefault="0007659A">
      <w:pPr>
        <w:rPr>
          <w:rFonts w:ascii="Century Gothic" w:hAnsi="Century Gothic"/>
        </w:rPr>
      </w:pPr>
    </w:p>
    <w:p w14:paraId="6497A10B" w14:textId="77777777" w:rsidR="0007659A" w:rsidRPr="003A7254" w:rsidRDefault="0007659A">
      <w:pPr>
        <w:rPr>
          <w:rFonts w:ascii="Century Gothic" w:hAnsi="Century Gothic"/>
        </w:rPr>
      </w:pPr>
    </w:p>
    <w:p w14:paraId="280A0408" w14:textId="77777777" w:rsidR="0007659A" w:rsidRPr="003A7254" w:rsidRDefault="0007659A">
      <w:pPr>
        <w:rPr>
          <w:rFonts w:ascii="Century Gothic" w:hAnsi="Century Gothic"/>
        </w:rPr>
      </w:pPr>
    </w:p>
    <w:p w14:paraId="23496300" w14:textId="77777777" w:rsidR="0007659A" w:rsidRPr="003A7254" w:rsidRDefault="0007659A">
      <w:pPr>
        <w:rPr>
          <w:rFonts w:ascii="Century Gothic" w:hAnsi="Century Gothic"/>
        </w:rPr>
      </w:pPr>
    </w:p>
    <w:p w14:paraId="5167C466" w14:textId="77777777" w:rsidR="0007659A" w:rsidRPr="003A7254" w:rsidRDefault="0007659A">
      <w:pPr>
        <w:rPr>
          <w:rFonts w:ascii="Century Gothic" w:hAnsi="Century Gothic"/>
        </w:rPr>
      </w:pPr>
    </w:p>
    <w:p w14:paraId="14E66F40" w14:textId="77777777" w:rsidR="0007659A" w:rsidRPr="003A7254" w:rsidRDefault="000E53FD">
      <w:pPr>
        <w:rPr>
          <w:rFonts w:ascii="Century Gothic" w:hAnsi="Century Gothic"/>
        </w:rPr>
      </w:pPr>
      <w:r w:rsidRPr="003A7254">
        <w:rPr>
          <w:rFonts w:ascii="Century Gothic" w:hAnsi="Century Gothic"/>
          <w:noProof/>
          <w:color w:val="505A64"/>
          <w:lang w:eastAsia="es-EC"/>
        </w:rPr>
        <mc:AlternateContent>
          <mc:Choice Requires="wps">
            <w:drawing>
              <wp:anchor distT="0" distB="0" distL="114300" distR="114300" simplePos="0" relativeHeight="251657216" behindDoc="0" locked="0" layoutInCell="1" allowOverlap="1" wp14:anchorId="50F26E34" wp14:editId="7F7A9DA6">
                <wp:simplePos x="0" y="0"/>
                <wp:positionH relativeFrom="column">
                  <wp:posOffset>-925195</wp:posOffset>
                </wp:positionH>
                <wp:positionV relativeFrom="paragraph">
                  <wp:posOffset>310515</wp:posOffset>
                </wp:positionV>
                <wp:extent cx="5076825" cy="1759585"/>
                <wp:effectExtent l="0" t="0" r="9525" b="12065"/>
                <wp:wrapNone/>
                <wp:docPr id="5" name="Cuadro de texto 5"/>
                <wp:cNvGraphicFramePr/>
                <a:graphic xmlns:a="http://schemas.openxmlformats.org/drawingml/2006/main">
                  <a:graphicData uri="http://schemas.microsoft.com/office/word/2010/wordprocessingShape">
                    <wps:wsp>
                      <wps:cNvSpPr txBox="1"/>
                      <wps:spPr>
                        <a:xfrm>
                          <a:off x="0" y="0"/>
                          <a:ext cx="5076825" cy="1759585"/>
                        </a:xfrm>
                        <a:prstGeom prst="rect">
                          <a:avLst/>
                        </a:prstGeom>
                        <a:noFill/>
                        <a:ln w="6350">
                          <a:noFill/>
                        </a:ln>
                      </wps:spPr>
                      <wps:txbx>
                        <w:txbxContent>
                          <w:p w14:paraId="6C5825B5" w14:textId="77777777" w:rsidR="00746E03" w:rsidRPr="001E4E5C" w:rsidRDefault="00746E03" w:rsidP="000E53FD">
                            <w:pPr>
                              <w:jc w:val="center"/>
                              <w:rPr>
                                <w:rFonts w:ascii="Century Gothic" w:hAnsi="Century Gothic"/>
                                <w:b/>
                                <w:bCs/>
                                <w:color w:val="505A64"/>
                                <w:sz w:val="56"/>
                                <w:szCs w:val="76"/>
                                <w:lang w:val="es-ES"/>
                              </w:rPr>
                            </w:pPr>
                            <w:r w:rsidRPr="001E4E5C">
                              <w:rPr>
                                <w:rFonts w:ascii="Century Gothic" w:hAnsi="Century Gothic"/>
                                <w:b/>
                                <w:bCs/>
                                <w:color w:val="505A64"/>
                                <w:sz w:val="56"/>
                                <w:szCs w:val="76"/>
                                <w:lang w:val="es-ES"/>
                              </w:rPr>
                              <w:t>Encuesta Estructural Empresarial</w:t>
                            </w:r>
                          </w:p>
                          <w:p w14:paraId="0CAB9442" w14:textId="77777777" w:rsidR="00746E03" w:rsidRPr="001E4E5C" w:rsidRDefault="00746E03" w:rsidP="000E53FD">
                            <w:pPr>
                              <w:jc w:val="center"/>
                              <w:rPr>
                                <w:rFonts w:ascii="Century Gothic" w:hAnsi="Century Gothic"/>
                                <w:b/>
                                <w:bCs/>
                                <w:color w:val="505A64"/>
                                <w:sz w:val="56"/>
                                <w:szCs w:val="76"/>
                                <w:lang w:val="es-ES"/>
                              </w:rPr>
                            </w:pPr>
                            <w:r w:rsidRPr="001E4E5C">
                              <w:rPr>
                                <w:rFonts w:ascii="Century Gothic" w:hAnsi="Century Gothic"/>
                                <w:b/>
                                <w:bCs/>
                                <w:color w:val="505A64"/>
                                <w:sz w:val="56"/>
                                <w:szCs w:val="76"/>
                                <w:lang w:val="es-ES"/>
                              </w:rPr>
                              <w:t>(ENESEM)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F26E34" id="_x0000_t202" coordsize="21600,21600" o:spt="202" path="m,l,21600r21600,l21600,xe">
                <v:stroke joinstyle="miter"/>
                <v:path gradientshapeok="t" o:connecttype="rect"/>
              </v:shapetype>
              <v:shape id="Cuadro de texto 5" o:spid="_x0000_s1026" type="#_x0000_t202" style="position:absolute;margin-left:-72.85pt;margin-top:24.45pt;width:399.75pt;height:138.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" filled="f" stroked="f" strokeweight=".5pt">
                <v:textbox inset="0,0,0,0">
                  <w:txbxContent>
                    <w:p w14:paraId="6C5825B5" w14:textId="77777777" w:rsidR="00746E03" w:rsidRPr="001E4E5C" w:rsidRDefault="00746E03" w:rsidP="000E53FD">
                      <w:pPr>
                        <w:jc w:val="center"/>
                        <w:rPr>
                          <w:rFonts w:ascii="Century Gothic" w:hAnsi="Century Gothic"/>
                          <w:b/>
                          <w:bCs/>
                          <w:color w:val="505A64"/>
                          <w:sz w:val="56"/>
                          <w:szCs w:val="76"/>
                          <w:lang w:val="es-ES"/>
                        </w:rPr>
                      </w:pPr>
                      <w:r w:rsidRPr="001E4E5C">
                        <w:rPr>
                          <w:rFonts w:ascii="Century Gothic" w:hAnsi="Century Gothic"/>
                          <w:b/>
                          <w:bCs/>
                          <w:color w:val="505A64"/>
                          <w:sz w:val="56"/>
                          <w:szCs w:val="76"/>
                          <w:lang w:val="es-ES"/>
                        </w:rPr>
                        <w:t>Encuesta Estructural Empresarial</w:t>
                      </w:r>
                    </w:p>
                    <w:p w14:paraId="0CAB9442" w14:textId="77777777" w:rsidR="00746E03" w:rsidRPr="001E4E5C" w:rsidRDefault="00746E03" w:rsidP="000E53FD">
                      <w:pPr>
                        <w:jc w:val="center"/>
                        <w:rPr>
                          <w:rFonts w:ascii="Century Gothic" w:hAnsi="Century Gothic"/>
                          <w:b/>
                          <w:bCs/>
                          <w:color w:val="505A64"/>
                          <w:sz w:val="56"/>
                          <w:szCs w:val="76"/>
                          <w:lang w:val="es-ES"/>
                        </w:rPr>
                      </w:pPr>
                      <w:r w:rsidRPr="001E4E5C">
                        <w:rPr>
                          <w:rFonts w:ascii="Century Gothic" w:hAnsi="Century Gothic"/>
                          <w:b/>
                          <w:bCs/>
                          <w:color w:val="505A64"/>
                          <w:sz w:val="56"/>
                          <w:szCs w:val="76"/>
                          <w:lang w:val="es-ES"/>
                        </w:rPr>
                        <w:t>(ENESEM) 2022</w:t>
                      </w:r>
                    </w:p>
                  </w:txbxContent>
                </v:textbox>
              </v:shape>
            </w:pict>
          </mc:Fallback>
        </mc:AlternateContent>
      </w:r>
    </w:p>
    <w:p w14:paraId="674696D5" w14:textId="77777777" w:rsidR="0007659A" w:rsidRPr="003A7254" w:rsidRDefault="0007659A">
      <w:pPr>
        <w:rPr>
          <w:rFonts w:ascii="Century Gothic" w:hAnsi="Century Gothic"/>
        </w:rPr>
      </w:pPr>
    </w:p>
    <w:p w14:paraId="1A154625" w14:textId="77777777" w:rsidR="0007659A" w:rsidRPr="003A7254" w:rsidRDefault="0007659A">
      <w:pPr>
        <w:rPr>
          <w:rFonts w:ascii="Century Gothic" w:hAnsi="Century Gothic"/>
        </w:rPr>
      </w:pPr>
    </w:p>
    <w:p w14:paraId="3D30A7F9" w14:textId="77777777" w:rsidR="0007659A" w:rsidRPr="003A7254" w:rsidRDefault="0007659A">
      <w:pPr>
        <w:rPr>
          <w:rFonts w:ascii="Century Gothic" w:hAnsi="Century Gothic"/>
        </w:rPr>
      </w:pPr>
    </w:p>
    <w:p w14:paraId="0EA8CD95" w14:textId="77777777" w:rsidR="0007659A" w:rsidRPr="003A7254" w:rsidRDefault="0007659A">
      <w:pPr>
        <w:rPr>
          <w:rFonts w:ascii="Century Gothic" w:hAnsi="Century Gothic"/>
        </w:rPr>
      </w:pPr>
    </w:p>
    <w:p w14:paraId="7CE38399" w14:textId="77777777" w:rsidR="0007659A" w:rsidRPr="003A7254" w:rsidRDefault="0007659A">
      <w:pPr>
        <w:rPr>
          <w:rFonts w:ascii="Century Gothic" w:hAnsi="Century Gothic"/>
        </w:rPr>
      </w:pPr>
    </w:p>
    <w:p w14:paraId="3F3C86CF" w14:textId="77777777" w:rsidR="0007659A" w:rsidRPr="003A7254" w:rsidRDefault="0007659A">
      <w:pPr>
        <w:rPr>
          <w:rFonts w:ascii="Century Gothic" w:hAnsi="Century Gothic"/>
        </w:rPr>
      </w:pPr>
    </w:p>
    <w:p w14:paraId="100C815A" w14:textId="77777777" w:rsidR="0007659A" w:rsidRPr="003A7254" w:rsidRDefault="0007659A">
      <w:pPr>
        <w:rPr>
          <w:rFonts w:ascii="Century Gothic" w:hAnsi="Century Gothic"/>
        </w:rPr>
      </w:pPr>
    </w:p>
    <w:p w14:paraId="4ACB1E7B" w14:textId="77777777" w:rsidR="0007659A" w:rsidRPr="003A7254" w:rsidRDefault="0007659A">
      <w:pPr>
        <w:rPr>
          <w:rFonts w:ascii="Century Gothic" w:hAnsi="Century Gothic"/>
        </w:rPr>
      </w:pPr>
    </w:p>
    <w:p w14:paraId="6D5D24C8" w14:textId="77777777" w:rsidR="0007659A" w:rsidRPr="003A7254" w:rsidRDefault="0007659A">
      <w:pPr>
        <w:rPr>
          <w:rFonts w:ascii="Century Gothic" w:hAnsi="Century Gothic"/>
        </w:rPr>
      </w:pPr>
    </w:p>
    <w:p w14:paraId="2958ED2A" w14:textId="77777777" w:rsidR="0007659A" w:rsidRPr="003A7254" w:rsidRDefault="0007659A">
      <w:pPr>
        <w:rPr>
          <w:rFonts w:ascii="Century Gothic" w:hAnsi="Century Gothic"/>
        </w:rPr>
      </w:pPr>
    </w:p>
    <w:p w14:paraId="538F3C4C" w14:textId="77777777" w:rsidR="0007659A" w:rsidRPr="003A7254" w:rsidRDefault="000E53FD">
      <w:pPr>
        <w:rPr>
          <w:rFonts w:ascii="Century Gothic" w:hAnsi="Century Gothic"/>
        </w:rPr>
      </w:pPr>
      <w:r w:rsidRPr="003A7254">
        <w:rPr>
          <w:rFonts w:ascii="Century Gothic" w:hAnsi="Century Gothic"/>
          <w:noProof/>
          <w:color w:val="505A64"/>
          <w:lang w:eastAsia="es-EC"/>
        </w:rPr>
        <mc:AlternateContent>
          <mc:Choice Requires="wps">
            <w:drawing>
              <wp:anchor distT="0" distB="0" distL="114300" distR="114300" simplePos="0" relativeHeight="251659264" behindDoc="0" locked="0" layoutInCell="1" allowOverlap="1" wp14:anchorId="1DFEE490" wp14:editId="56933A82">
                <wp:simplePos x="0" y="0"/>
                <wp:positionH relativeFrom="column">
                  <wp:posOffset>580744</wp:posOffset>
                </wp:positionH>
                <wp:positionV relativeFrom="paragraph">
                  <wp:posOffset>116677</wp:posOffset>
                </wp:positionV>
                <wp:extent cx="3400425" cy="657225"/>
                <wp:effectExtent l="0" t="0" r="9525" b="9525"/>
                <wp:wrapNone/>
                <wp:docPr id="6" name="Cuadro de texto 6"/>
                <wp:cNvGraphicFramePr/>
                <a:graphic xmlns:a="http://schemas.openxmlformats.org/drawingml/2006/main">
                  <a:graphicData uri="http://schemas.microsoft.com/office/word/2010/wordprocessingShape">
                    <wps:wsp>
                      <wps:cNvSpPr txBox="1"/>
                      <wps:spPr>
                        <a:xfrm>
                          <a:off x="0" y="0"/>
                          <a:ext cx="3400425" cy="657225"/>
                        </a:xfrm>
                        <a:prstGeom prst="rect">
                          <a:avLst/>
                        </a:prstGeom>
                        <a:noFill/>
                        <a:ln w="6350">
                          <a:noFill/>
                        </a:ln>
                      </wps:spPr>
                      <wps:txbx>
                        <w:txbxContent>
                          <w:p w14:paraId="5676514C" w14:textId="77777777" w:rsidR="00746E03" w:rsidRPr="001E4E5C" w:rsidRDefault="00746E03">
                            <w:pPr>
                              <w:rPr>
                                <w:rFonts w:ascii="Century Gothic" w:hAnsi="Century Gothic"/>
                                <w:color w:val="505A64"/>
                                <w:sz w:val="52"/>
                                <w:szCs w:val="64"/>
                                <w:lang w:val="es-ES"/>
                              </w:rPr>
                            </w:pPr>
                            <w:r w:rsidRPr="001E4E5C">
                              <w:rPr>
                                <w:rFonts w:ascii="Century Gothic" w:hAnsi="Century Gothic"/>
                                <w:color w:val="505A64"/>
                                <w:sz w:val="52"/>
                                <w:szCs w:val="64"/>
                                <w:lang w:val="es-ES"/>
                              </w:rPr>
                              <w:t>Metodología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EE490" id="Cuadro de texto 6" o:spid="_x0000_s1027" type="#_x0000_t202" style="position:absolute;margin-left:45.75pt;margin-top:9.2pt;width:267.75pt;height:5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" filled="f" stroked="f" strokeweight=".5pt">
                <v:textbox inset="0,0,0,0">
                  <w:txbxContent>
                    <w:p w14:paraId="5676514C" w14:textId="77777777" w:rsidR="00746E03" w:rsidRPr="001E4E5C" w:rsidRDefault="00746E03">
                      <w:pPr>
                        <w:rPr>
                          <w:rFonts w:ascii="Century Gothic" w:hAnsi="Century Gothic"/>
                          <w:color w:val="505A64"/>
                          <w:sz w:val="52"/>
                          <w:szCs w:val="64"/>
                          <w:lang w:val="es-ES"/>
                        </w:rPr>
                      </w:pPr>
                      <w:r w:rsidRPr="001E4E5C">
                        <w:rPr>
                          <w:rFonts w:ascii="Century Gothic" w:hAnsi="Century Gothic"/>
                          <w:color w:val="505A64"/>
                          <w:sz w:val="52"/>
                          <w:szCs w:val="64"/>
                          <w:lang w:val="es-ES"/>
                        </w:rPr>
                        <w:t>Metodología</w:t>
                      </w:r>
                    </w:p>
                  </w:txbxContent>
                </v:textbox>
              </v:shape>
            </w:pict>
          </mc:Fallback>
        </mc:AlternateContent>
      </w:r>
      <w:r w:rsidRPr="003A7254">
        <w:rPr>
          <w:rFonts w:ascii="Century Gothic" w:hAnsi="Century Gothic"/>
          <w:noProof/>
          <w:color w:val="505A64"/>
          <w:sz w:val="96"/>
          <w:szCs w:val="96"/>
          <w:lang w:eastAsia="es-EC"/>
        </w:rPr>
        <w:drawing>
          <wp:anchor distT="0" distB="0" distL="114300" distR="114300" simplePos="0" relativeHeight="251668480" behindDoc="0" locked="0" layoutInCell="1" allowOverlap="1" wp14:anchorId="69387107" wp14:editId="355517A6">
            <wp:simplePos x="0" y="0"/>
            <wp:positionH relativeFrom="column">
              <wp:posOffset>-344491</wp:posOffset>
            </wp:positionH>
            <wp:positionV relativeFrom="paragraph">
              <wp:posOffset>155262</wp:posOffset>
            </wp:positionV>
            <wp:extent cx="473745" cy="473745"/>
            <wp:effectExtent l="0" t="0" r="0" b="0"/>
            <wp:wrapThrough wrapText="bothSides">
              <wp:wrapPolygon edited="0">
                <wp:start x="579" y="0"/>
                <wp:lineTo x="0" y="1737"/>
                <wp:lineTo x="0" y="20847"/>
                <wp:lineTo x="20847" y="20847"/>
                <wp:lineTo x="20847" y="0"/>
                <wp:lineTo x="579"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ea.png"/>
                    <pic:cNvPicPr/>
                  </pic:nvPicPr>
                  <pic:blipFill>
                    <a:blip r:embed="rId9" cstate="email">
                      <a:extLst>
                        <a:ext uri="{28A0092B-C50C-407E-A947-70E740481C1C}">
                          <a14:useLocalDpi xmlns:a14="http://schemas.microsoft.com/office/drawing/2010/main"/>
                        </a:ext>
                      </a:extLst>
                    </a:blip>
                    <a:stretch>
                      <a:fillRect/>
                    </a:stretch>
                  </pic:blipFill>
                  <pic:spPr>
                    <a:xfrm>
                      <a:off x="0" y="0"/>
                      <a:ext cx="473745" cy="473745"/>
                    </a:xfrm>
                    <a:prstGeom prst="rect">
                      <a:avLst/>
                    </a:prstGeom>
                  </pic:spPr>
                </pic:pic>
              </a:graphicData>
            </a:graphic>
            <wp14:sizeRelH relativeFrom="page">
              <wp14:pctWidth>0</wp14:pctWidth>
            </wp14:sizeRelH>
            <wp14:sizeRelV relativeFrom="page">
              <wp14:pctHeight>0</wp14:pctHeight>
            </wp14:sizeRelV>
          </wp:anchor>
        </w:drawing>
      </w:r>
    </w:p>
    <w:p w14:paraId="390919DC" w14:textId="77777777" w:rsidR="0007659A" w:rsidRPr="003A7254" w:rsidRDefault="0007659A">
      <w:pPr>
        <w:rPr>
          <w:rFonts w:ascii="Century Gothic" w:hAnsi="Century Gothic"/>
        </w:rPr>
      </w:pPr>
    </w:p>
    <w:p w14:paraId="2D31D621" w14:textId="77777777" w:rsidR="0007659A" w:rsidRPr="003A7254" w:rsidRDefault="0007659A">
      <w:pPr>
        <w:rPr>
          <w:rFonts w:ascii="Century Gothic" w:hAnsi="Century Gothic"/>
        </w:rPr>
      </w:pPr>
    </w:p>
    <w:p w14:paraId="6BF07538" w14:textId="77777777" w:rsidR="0007659A" w:rsidRPr="003A7254" w:rsidRDefault="0007659A">
      <w:pPr>
        <w:rPr>
          <w:rFonts w:ascii="Century Gothic" w:hAnsi="Century Gothic"/>
        </w:rPr>
      </w:pPr>
    </w:p>
    <w:p w14:paraId="02CDDF42" w14:textId="77777777" w:rsidR="0007659A" w:rsidRPr="003A7254" w:rsidRDefault="00312ACC">
      <w:pPr>
        <w:rPr>
          <w:rFonts w:ascii="Century Gothic" w:hAnsi="Century Gothic"/>
        </w:rPr>
      </w:pPr>
      <w:r w:rsidRPr="003A7254">
        <w:rPr>
          <w:rFonts w:ascii="Century Gothic" w:hAnsi="Century Gothic"/>
          <w:noProof/>
          <w:color w:val="505A64"/>
          <w:lang w:eastAsia="es-EC"/>
        </w:rPr>
        <mc:AlternateContent>
          <mc:Choice Requires="wps">
            <w:drawing>
              <wp:anchor distT="0" distB="0" distL="114300" distR="114300" simplePos="0" relativeHeight="251661312" behindDoc="0" locked="0" layoutInCell="1" allowOverlap="1" wp14:anchorId="1C7909AF" wp14:editId="6A7531E6">
                <wp:simplePos x="0" y="0"/>
                <wp:positionH relativeFrom="column">
                  <wp:posOffset>-344627</wp:posOffset>
                </wp:positionH>
                <wp:positionV relativeFrom="paragraph">
                  <wp:posOffset>177120</wp:posOffset>
                </wp:positionV>
                <wp:extent cx="1650030" cy="369570"/>
                <wp:effectExtent l="0" t="0" r="1270" b="0"/>
                <wp:wrapNone/>
                <wp:docPr id="7" name="Cuadro de texto 7"/>
                <wp:cNvGraphicFramePr/>
                <a:graphic xmlns:a="http://schemas.openxmlformats.org/drawingml/2006/main">
                  <a:graphicData uri="http://schemas.microsoft.com/office/word/2010/wordprocessingShape">
                    <wps:wsp>
                      <wps:cNvSpPr txBox="1"/>
                      <wps:spPr>
                        <a:xfrm>
                          <a:off x="0" y="0"/>
                          <a:ext cx="1650030" cy="369570"/>
                        </a:xfrm>
                        <a:prstGeom prst="roundRect">
                          <a:avLst>
                            <a:gd name="adj" fmla="val 50000"/>
                          </a:avLst>
                        </a:prstGeom>
                        <a:gradFill>
                          <a:gsLst>
                            <a:gs pos="0">
                              <a:srgbClr val="0096FF"/>
                            </a:gs>
                            <a:gs pos="100000">
                              <a:srgbClr val="4A3FA3"/>
                            </a:gs>
                          </a:gsLst>
                          <a:lin ang="2700000" scaled="0"/>
                        </a:gradFill>
                        <a:ln w="6350">
                          <a:noFill/>
                        </a:ln>
                      </wps:spPr>
                      <wps:txbx>
                        <w:txbxContent>
                          <w:p w14:paraId="37C98E28" w14:textId="77777777" w:rsidR="00746E03" w:rsidRPr="001E4E5C" w:rsidRDefault="00746E03" w:rsidP="005C23E6">
                            <w:pPr>
                              <w:jc w:val="center"/>
                              <w:rPr>
                                <w:rFonts w:ascii="Century Gothic" w:hAnsi="Century Gothic"/>
                                <w:color w:val="FFFFFF" w:themeColor="background1"/>
                                <w:sz w:val="28"/>
                                <w:szCs w:val="44"/>
                                <w:lang w:val="es-ES"/>
                              </w:rPr>
                            </w:pPr>
                            <w:r>
                              <w:rPr>
                                <w:rFonts w:ascii="Century Gothic" w:hAnsi="Century Gothic"/>
                                <w:color w:val="FFFFFF" w:themeColor="background1"/>
                                <w:sz w:val="28"/>
                                <w:szCs w:val="44"/>
                                <w:lang w:val="es-ES"/>
                              </w:rPr>
                              <w:t>Marzo</w:t>
                            </w:r>
                            <w:r w:rsidRPr="001E4E5C">
                              <w:rPr>
                                <w:rFonts w:ascii="Century Gothic" w:hAnsi="Century Gothic"/>
                                <w:color w:val="FFFFFF" w:themeColor="background1"/>
                                <w:sz w:val="28"/>
                                <w:szCs w:val="44"/>
                                <w:lang w:val="es-ES"/>
                              </w:rPr>
                              <w:t>,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7909AF" id="Cuadro de texto 7" o:spid="_x0000_s1028" style="position:absolute;margin-left:-27.15pt;margin-top:13.95pt;width:129.9pt;height:29.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" fillcolor="#0096ff" stroked="f" strokeweight=".5pt">
                <v:fill color2="#4a3fa3" angle="45" focus="100%" type="gradient">
                  <o:fill v:ext="view" type="gradientUnscaled"/>
                </v:fill>
                <v:textbox inset="0,0,0,0">
                  <w:txbxContent>
                    <w:p w14:paraId="37C98E28" w14:textId="77777777" w:rsidR="00746E03" w:rsidRPr="001E4E5C" w:rsidRDefault="00746E03" w:rsidP="005C23E6">
                      <w:pPr>
                        <w:jc w:val="center"/>
                        <w:rPr>
                          <w:rFonts w:ascii="Century Gothic" w:hAnsi="Century Gothic"/>
                          <w:color w:val="FFFFFF" w:themeColor="background1"/>
                          <w:sz w:val="28"/>
                          <w:szCs w:val="44"/>
                          <w:lang w:val="es-ES"/>
                        </w:rPr>
                      </w:pPr>
                      <w:r>
                        <w:rPr>
                          <w:rFonts w:ascii="Century Gothic" w:hAnsi="Century Gothic"/>
                          <w:color w:val="FFFFFF" w:themeColor="background1"/>
                          <w:sz w:val="28"/>
                          <w:szCs w:val="44"/>
                          <w:lang w:val="es-ES"/>
                        </w:rPr>
                        <w:t>Marzo</w:t>
                      </w:r>
                      <w:r w:rsidRPr="001E4E5C">
                        <w:rPr>
                          <w:rFonts w:ascii="Century Gothic" w:hAnsi="Century Gothic"/>
                          <w:color w:val="FFFFFF" w:themeColor="background1"/>
                          <w:sz w:val="28"/>
                          <w:szCs w:val="44"/>
                          <w:lang w:val="es-ES"/>
                        </w:rPr>
                        <w:t>, 2024</w:t>
                      </w:r>
                    </w:p>
                  </w:txbxContent>
                </v:textbox>
              </v:roundrect>
            </w:pict>
          </mc:Fallback>
        </mc:AlternateContent>
      </w:r>
    </w:p>
    <w:p w14:paraId="2EFA8879" w14:textId="77777777" w:rsidR="0007659A" w:rsidRPr="003A7254" w:rsidRDefault="0007659A">
      <w:pPr>
        <w:rPr>
          <w:rFonts w:ascii="Century Gothic" w:hAnsi="Century Gothic"/>
        </w:rPr>
      </w:pPr>
    </w:p>
    <w:p w14:paraId="5C5244DA" w14:textId="77777777" w:rsidR="0007659A" w:rsidRPr="003A7254" w:rsidRDefault="0007659A">
      <w:pPr>
        <w:rPr>
          <w:rFonts w:ascii="Century Gothic" w:hAnsi="Century Gothic"/>
        </w:rPr>
      </w:pPr>
    </w:p>
    <w:p w14:paraId="5B284732" w14:textId="77777777" w:rsidR="0007659A" w:rsidRPr="003A7254" w:rsidRDefault="0007659A">
      <w:pPr>
        <w:rPr>
          <w:rFonts w:ascii="Century Gothic" w:hAnsi="Century Gothic"/>
          <w:color w:val="595959" w:themeColor="text1" w:themeTint="A6"/>
          <w:szCs w:val="21"/>
        </w:rPr>
      </w:pPr>
    </w:p>
    <w:p w14:paraId="33402780" w14:textId="77777777" w:rsidR="00436D5C" w:rsidRPr="0089450F" w:rsidRDefault="000E53FD" w:rsidP="000E53FD">
      <w:pPr>
        <w:rPr>
          <w:rFonts w:ascii="Century Gothic" w:hAnsi="Century Gothic"/>
          <w:color w:val="595959" w:themeColor="text1" w:themeTint="A6"/>
          <w:szCs w:val="21"/>
        </w:rPr>
      </w:pPr>
      <w:r w:rsidRPr="0089450F">
        <w:rPr>
          <w:rFonts w:ascii="Century Gothic" w:hAnsi="Century Gothic"/>
          <w:color w:val="595959" w:themeColor="text1" w:themeTint="A6"/>
          <w:szCs w:val="21"/>
        </w:rPr>
        <w:t>Instituto Nacional de Estadística y Censos (INEC)</w:t>
      </w:r>
    </w:p>
    <w:p w14:paraId="3F382747"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68479719"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1D7C7ECA"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4C18C3A7"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6D16C750"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1DE94C9D"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1A2CE2F4"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470B5BCB" w14:textId="77777777" w:rsidR="00436D5C" w:rsidRPr="0089450F" w:rsidRDefault="00436D5C" w:rsidP="00436D5C">
      <w:pPr>
        <w:autoSpaceDE w:val="0"/>
        <w:autoSpaceDN w:val="0"/>
        <w:adjustRightInd w:val="0"/>
        <w:rPr>
          <w:rFonts w:ascii="Century Gothic" w:hAnsi="Century Gothic" w:cs="Arial"/>
          <w:color w:val="595959" w:themeColor="text1" w:themeTint="A6"/>
          <w:szCs w:val="20"/>
          <w:lang w:eastAsia="es-EC"/>
        </w:rPr>
      </w:pPr>
    </w:p>
    <w:p w14:paraId="19CD5A95" w14:textId="77777777" w:rsidR="00436D5C" w:rsidRPr="0089450F" w:rsidRDefault="00436D5C" w:rsidP="00436D5C">
      <w:pPr>
        <w:autoSpaceDE w:val="0"/>
        <w:autoSpaceDN w:val="0"/>
        <w:adjustRightInd w:val="0"/>
        <w:rPr>
          <w:rFonts w:ascii="Century Gothic" w:hAnsi="Century Gothic"/>
          <w:color w:val="595959" w:themeColor="text1" w:themeTint="A6"/>
        </w:rPr>
      </w:pPr>
    </w:p>
    <w:p w14:paraId="7618C5D1" w14:textId="77777777" w:rsidR="00436D5C" w:rsidRDefault="00436D5C" w:rsidP="00436D5C">
      <w:pPr>
        <w:autoSpaceDE w:val="0"/>
        <w:autoSpaceDN w:val="0"/>
        <w:adjustRightInd w:val="0"/>
        <w:rPr>
          <w:rFonts w:ascii="Century Gothic" w:hAnsi="Century Gothic"/>
          <w:color w:val="595959" w:themeColor="text1" w:themeTint="A6"/>
        </w:rPr>
      </w:pPr>
    </w:p>
    <w:p w14:paraId="26538571" w14:textId="77777777" w:rsidR="00E12A6A" w:rsidRDefault="00E12A6A" w:rsidP="00436D5C">
      <w:pPr>
        <w:autoSpaceDE w:val="0"/>
        <w:autoSpaceDN w:val="0"/>
        <w:adjustRightInd w:val="0"/>
        <w:rPr>
          <w:rFonts w:ascii="Century Gothic" w:hAnsi="Century Gothic"/>
          <w:color w:val="595959" w:themeColor="text1" w:themeTint="A6"/>
        </w:rPr>
      </w:pPr>
    </w:p>
    <w:p w14:paraId="6D3309A1" w14:textId="77777777" w:rsidR="00E12A6A" w:rsidRDefault="00E12A6A" w:rsidP="00436D5C">
      <w:pPr>
        <w:autoSpaceDE w:val="0"/>
        <w:autoSpaceDN w:val="0"/>
        <w:adjustRightInd w:val="0"/>
        <w:rPr>
          <w:rFonts w:ascii="Century Gothic" w:hAnsi="Century Gothic"/>
          <w:color w:val="595959" w:themeColor="text1" w:themeTint="A6"/>
        </w:rPr>
      </w:pPr>
    </w:p>
    <w:p w14:paraId="5A054D90" w14:textId="77777777" w:rsidR="00E12A6A" w:rsidRDefault="00E12A6A" w:rsidP="00436D5C">
      <w:pPr>
        <w:autoSpaceDE w:val="0"/>
        <w:autoSpaceDN w:val="0"/>
        <w:adjustRightInd w:val="0"/>
        <w:rPr>
          <w:rFonts w:ascii="Century Gothic" w:hAnsi="Century Gothic"/>
          <w:color w:val="595959" w:themeColor="text1" w:themeTint="A6"/>
        </w:rPr>
      </w:pPr>
    </w:p>
    <w:p w14:paraId="187D72B1" w14:textId="77777777" w:rsidR="00E12A6A" w:rsidRDefault="00E12A6A" w:rsidP="00436D5C">
      <w:pPr>
        <w:autoSpaceDE w:val="0"/>
        <w:autoSpaceDN w:val="0"/>
        <w:adjustRightInd w:val="0"/>
        <w:rPr>
          <w:rFonts w:ascii="Century Gothic" w:hAnsi="Century Gothic"/>
          <w:color w:val="595959" w:themeColor="text1" w:themeTint="A6"/>
        </w:rPr>
      </w:pPr>
    </w:p>
    <w:p w14:paraId="1FA5C0ED" w14:textId="77777777" w:rsidR="00E12A6A" w:rsidRPr="0089450F" w:rsidRDefault="00E12A6A" w:rsidP="00436D5C">
      <w:pPr>
        <w:autoSpaceDE w:val="0"/>
        <w:autoSpaceDN w:val="0"/>
        <w:adjustRightInd w:val="0"/>
        <w:rPr>
          <w:rFonts w:ascii="Century Gothic" w:hAnsi="Century Gothic"/>
          <w:color w:val="595959" w:themeColor="text1" w:themeTint="A6"/>
        </w:rPr>
      </w:pPr>
    </w:p>
    <w:p w14:paraId="2F69CBE7" w14:textId="77777777" w:rsidR="00436D5C" w:rsidRPr="0089450F" w:rsidRDefault="00436D5C" w:rsidP="00436D5C">
      <w:pPr>
        <w:autoSpaceDE w:val="0"/>
        <w:autoSpaceDN w:val="0"/>
        <w:adjustRightInd w:val="0"/>
        <w:rPr>
          <w:rFonts w:ascii="Century Gothic" w:hAnsi="Century Gothic"/>
          <w:color w:val="595959" w:themeColor="text1" w:themeTint="A6"/>
          <w:sz w:val="32"/>
        </w:rPr>
      </w:pPr>
    </w:p>
    <w:p w14:paraId="08C022D4" w14:textId="77777777" w:rsidR="00436D5C" w:rsidRPr="0089450F" w:rsidRDefault="000E53FD" w:rsidP="00436D5C">
      <w:pPr>
        <w:pStyle w:val="Prrafodelista"/>
        <w:spacing w:after="0" w:line="240" w:lineRule="auto"/>
        <w:ind w:left="0"/>
        <w:jc w:val="left"/>
        <w:rPr>
          <w:rFonts w:ascii="Century Gothic" w:hAnsi="Century Gothic"/>
          <w:b/>
          <w:color w:val="595959" w:themeColor="text1" w:themeTint="A6"/>
          <w:sz w:val="24"/>
          <w:szCs w:val="21"/>
        </w:rPr>
      </w:pPr>
      <w:r w:rsidRPr="0089450F">
        <w:rPr>
          <w:rFonts w:ascii="Century Gothic" w:hAnsi="Century Gothic"/>
          <w:b/>
          <w:color w:val="595959" w:themeColor="text1" w:themeTint="A6"/>
          <w:sz w:val="24"/>
          <w:szCs w:val="21"/>
        </w:rPr>
        <w:t>Encuesta Estructural Empresarial (ENESEM)</w:t>
      </w:r>
    </w:p>
    <w:p w14:paraId="4E04E48C" w14:textId="77777777" w:rsidR="00436D5C" w:rsidRPr="0089450F" w:rsidRDefault="00436D5C" w:rsidP="00436D5C">
      <w:pPr>
        <w:autoSpaceDE w:val="0"/>
        <w:autoSpaceDN w:val="0"/>
        <w:adjustRightInd w:val="0"/>
        <w:rPr>
          <w:rFonts w:ascii="Century Gothic" w:hAnsi="Century Gothic"/>
          <w:b/>
          <w:color w:val="595959" w:themeColor="text1" w:themeTint="A6"/>
          <w:sz w:val="21"/>
          <w:szCs w:val="21"/>
        </w:rPr>
      </w:pPr>
    </w:p>
    <w:p w14:paraId="2CC0BE47" w14:textId="77777777" w:rsidR="00D41017" w:rsidRPr="0089450F" w:rsidRDefault="00D41017" w:rsidP="00436D5C">
      <w:pPr>
        <w:autoSpaceDE w:val="0"/>
        <w:autoSpaceDN w:val="0"/>
        <w:adjustRightInd w:val="0"/>
        <w:rPr>
          <w:rFonts w:ascii="Century Gothic" w:hAnsi="Century Gothic"/>
          <w:b/>
          <w:color w:val="595959" w:themeColor="text1" w:themeTint="A6"/>
          <w:sz w:val="21"/>
          <w:szCs w:val="21"/>
        </w:rPr>
      </w:pPr>
    </w:p>
    <w:p w14:paraId="79508773" w14:textId="77777777" w:rsidR="000E53FD" w:rsidRPr="001522B0" w:rsidRDefault="000E53FD" w:rsidP="000E53FD">
      <w:pPr>
        <w:rPr>
          <w:rFonts w:ascii="Century Gothic" w:hAnsi="Century Gothic"/>
          <w:b/>
          <w:color w:val="595959" w:themeColor="text1" w:themeTint="A6"/>
        </w:rPr>
      </w:pPr>
      <w:r w:rsidRPr="001522B0">
        <w:rPr>
          <w:rFonts w:ascii="Century Gothic" w:hAnsi="Century Gothic"/>
          <w:b/>
          <w:color w:val="595959" w:themeColor="text1" w:themeTint="A6"/>
        </w:rPr>
        <w:t>Mes y año de elaboración</w:t>
      </w:r>
    </w:p>
    <w:p w14:paraId="216948EE" w14:textId="77777777" w:rsidR="000E53FD" w:rsidRPr="001522B0" w:rsidRDefault="00AB62B7" w:rsidP="000E53FD">
      <w:pPr>
        <w:rPr>
          <w:rFonts w:ascii="Century Gothic" w:hAnsi="Century Gothic"/>
          <w:color w:val="595959" w:themeColor="text1" w:themeTint="A6"/>
        </w:rPr>
      </w:pPr>
      <w:r>
        <w:rPr>
          <w:rFonts w:ascii="Century Gothic" w:hAnsi="Century Gothic"/>
          <w:color w:val="595959" w:themeColor="text1" w:themeTint="A6"/>
        </w:rPr>
        <w:t>Abril</w:t>
      </w:r>
      <w:r w:rsidR="00897A16">
        <w:rPr>
          <w:rFonts w:ascii="Century Gothic" w:hAnsi="Century Gothic"/>
          <w:color w:val="595959" w:themeColor="text1" w:themeTint="A6"/>
        </w:rPr>
        <w:t xml:space="preserve"> 2018</w:t>
      </w:r>
    </w:p>
    <w:p w14:paraId="5F1F9991" w14:textId="77777777" w:rsidR="000E53FD" w:rsidRPr="001522B0" w:rsidRDefault="000E53FD" w:rsidP="000E53FD">
      <w:pPr>
        <w:rPr>
          <w:rFonts w:ascii="Century Gothic" w:hAnsi="Century Gothic"/>
          <w:color w:val="595959" w:themeColor="text1" w:themeTint="A6"/>
        </w:rPr>
      </w:pPr>
    </w:p>
    <w:p w14:paraId="5A5337FA" w14:textId="77777777" w:rsidR="000E53FD" w:rsidRPr="001522B0" w:rsidRDefault="000E53FD" w:rsidP="000E53FD">
      <w:pPr>
        <w:rPr>
          <w:rFonts w:ascii="Century Gothic" w:hAnsi="Century Gothic"/>
          <w:b/>
          <w:color w:val="595959" w:themeColor="text1" w:themeTint="A6"/>
        </w:rPr>
      </w:pPr>
      <w:r w:rsidRPr="001522B0">
        <w:rPr>
          <w:rFonts w:ascii="Century Gothic" w:hAnsi="Century Gothic"/>
          <w:b/>
          <w:color w:val="595959" w:themeColor="text1" w:themeTint="A6"/>
        </w:rPr>
        <w:t>Mes y año de actualización</w:t>
      </w:r>
    </w:p>
    <w:p w14:paraId="459745AA" w14:textId="77777777" w:rsidR="000E53FD" w:rsidRPr="001522B0" w:rsidRDefault="00906C5C" w:rsidP="000E53FD">
      <w:pPr>
        <w:rPr>
          <w:rFonts w:ascii="Century Gothic" w:hAnsi="Century Gothic"/>
          <w:color w:val="595959" w:themeColor="text1" w:themeTint="A6"/>
        </w:rPr>
      </w:pPr>
      <w:r>
        <w:rPr>
          <w:rFonts w:ascii="Century Gothic" w:hAnsi="Century Gothic"/>
          <w:color w:val="595959" w:themeColor="text1" w:themeTint="A6"/>
        </w:rPr>
        <w:t>Marzo</w:t>
      </w:r>
      <w:r w:rsidR="000E53FD" w:rsidRPr="001522B0">
        <w:rPr>
          <w:rFonts w:ascii="Century Gothic" w:hAnsi="Century Gothic"/>
          <w:color w:val="595959" w:themeColor="text1" w:themeTint="A6"/>
        </w:rPr>
        <w:t xml:space="preserve"> 2024</w:t>
      </w:r>
    </w:p>
    <w:p w14:paraId="57586E69" w14:textId="77777777" w:rsidR="000E53FD" w:rsidRDefault="000E53FD" w:rsidP="000E53FD">
      <w:pPr>
        <w:rPr>
          <w:rFonts w:ascii="Century Gothic" w:hAnsi="Century Gothic"/>
          <w:color w:val="595959" w:themeColor="text1" w:themeTint="A6"/>
        </w:rPr>
      </w:pPr>
    </w:p>
    <w:p w14:paraId="7690A24F" w14:textId="77777777" w:rsidR="00DC6FAF" w:rsidRDefault="00DC6FAF" w:rsidP="000E53FD">
      <w:pPr>
        <w:rPr>
          <w:rFonts w:ascii="Century Gothic" w:hAnsi="Century Gothic"/>
          <w:color w:val="595959" w:themeColor="text1" w:themeTint="A6"/>
        </w:rPr>
      </w:pPr>
    </w:p>
    <w:p w14:paraId="25AFADAE" w14:textId="77777777" w:rsidR="00DC6FAF" w:rsidRDefault="00DC6FAF" w:rsidP="000E53FD">
      <w:pPr>
        <w:rPr>
          <w:rFonts w:ascii="Century Gothic" w:hAnsi="Century Gothic"/>
          <w:color w:val="595959" w:themeColor="text1" w:themeTint="A6"/>
        </w:rPr>
      </w:pPr>
    </w:p>
    <w:p w14:paraId="5FA6C526" w14:textId="77777777" w:rsidR="00DC6FAF" w:rsidRDefault="00DC6FAF" w:rsidP="000E53FD">
      <w:pPr>
        <w:rPr>
          <w:rFonts w:ascii="Century Gothic" w:hAnsi="Century Gothic"/>
          <w:color w:val="595959" w:themeColor="text1" w:themeTint="A6"/>
        </w:rPr>
      </w:pPr>
    </w:p>
    <w:p w14:paraId="1BE633F3" w14:textId="77777777" w:rsidR="00DC6FAF" w:rsidRDefault="00DC6FAF" w:rsidP="000E53FD">
      <w:pPr>
        <w:rPr>
          <w:rFonts w:ascii="Century Gothic" w:hAnsi="Century Gothic"/>
          <w:color w:val="595959" w:themeColor="text1" w:themeTint="A6"/>
        </w:rPr>
      </w:pPr>
    </w:p>
    <w:p w14:paraId="6963AF64" w14:textId="77777777" w:rsidR="00DC6FAF" w:rsidRDefault="00DC6FAF" w:rsidP="000E53FD">
      <w:pPr>
        <w:rPr>
          <w:rFonts w:ascii="Century Gothic" w:hAnsi="Century Gothic"/>
          <w:color w:val="595959" w:themeColor="text1" w:themeTint="A6"/>
        </w:rPr>
      </w:pPr>
    </w:p>
    <w:p w14:paraId="304C7F6C" w14:textId="77777777" w:rsidR="00DC6FAF" w:rsidRDefault="00DC6FAF" w:rsidP="000E53FD">
      <w:pPr>
        <w:rPr>
          <w:rFonts w:ascii="Century Gothic" w:hAnsi="Century Gothic"/>
          <w:color w:val="595959" w:themeColor="text1" w:themeTint="A6"/>
        </w:rPr>
      </w:pPr>
    </w:p>
    <w:p w14:paraId="01C121E3" w14:textId="77777777" w:rsidR="00DC6FAF" w:rsidRDefault="00DC6FAF" w:rsidP="000E53FD">
      <w:pPr>
        <w:rPr>
          <w:rFonts w:ascii="Century Gothic" w:hAnsi="Century Gothic"/>
          <w:color w:val="595959" w:themeColor="text1" w:themeTint="A6"/>
        </w:rPr>
      </w:pPr>
    </w:p>
    <w:p w14:paraId="693DB829" w14:textId="77777777" w:rsidR="00DC6FAF" w:rsidRDefault="00DC6FAF" w:rsidP="000E53FD">
      <w:pPr>
        <w:rPr>
          <w:rFonts w:ascii="Century Gothic" w:hAnsi="Century Gothic"/>
          <w:color w:val="595959" w:themeColor="text1" w:themeTint="A6"/>
        </w:rPr>
      </w:pPr>
    </w:p>
    <w:p w14:paraId="7FCEEDA9" w14:textId="77777777" w:rsidR="00DC6FAF" w:rsidRDefault="00DC6FAF" w:rsidP="000E53FD">
      <w:pPr>
        <w:rPr>
          <w:rFonts w:ascii="Century Gothic" w:hAnsi="Century Gothic"/>
          <w:color w:val="595959" w:themeColor="text1" w:themeTint="A6"/>
        </w:rPr>
      </w:pPr>
    </w:p>
    <w:p w14:paraId="40806B66" w14:textId="77777777" w:rsidR="00DC6FAF" w:rsidRDefault="00DC6FAF" w:rsidP="000E53FD">
      <w:pPr>
        <w:rPr>
          <w:rFonts w:ascii="Century Gothic" w:hAnsi="Century Gothic"/>
          <w:color w:val="595959" w:themeColor="text1" w:themeTint="A6"/>
        </w:rPr>
      </w:pPr>
    </w:p>
    <w:p w14:paraId="19A4FD67" w14:textId="77777777" w:rsidR="00DC6FAF" w:rsidRDefault="00DC6FAF" w:rsidP="000E53FD">
      <w:pPr>
        <w:rPr>
          <w:rFonts w:ascii="Century Gothic" w:hAnsi="Century Gothic"/>
          <w:color w:val="595959" w:themeColor="text1" w:themeTint="A6"/>
        </w:rPr>
      </w:pPr>
    </w:p>
    <w:p w14:paraId="699A079F" w14:textId="77777777" w:rsidR="00DC6FAF" w:rsidRDefault="00DC6FAF" w:rsidP="000E53FD">
      <w:pPr>
        <w:rPr>
          <w:rFonts w:ascii="Century Gothic" w:hAnsi="Century Gothic"/>
          <w:color w:val="595959" w:themeColor="text1" w:themeTint="A6"/>
        </w:rPr>
      </w:pPr>
    </w:p>
    <w:p w14:paraId="5523493C" w14:textId="77777777" w:rsidR="00DC6FAF" w:rsidRDefault="00DC6FAF" w:rsidP="000E53FD">
      <w:pPr>
        <w:rPr>
          <w:rFonts w:ascii="Century Gothic" w:hAnsi="Century Gothic"/>
          <w:color w:val="595959" w:themeColor="text1" w:themeTint="A6"/>
        </w:rPr>
      </w:pPr>
    </w:p>
    <w:p w14:paraId="45BD60E8" w14:textId="77777777" w:rsidR="00DC6FAF" w:rsidRDefault="00DC6FAF" w:rsidP="000E53FD">
      <w:pPr>
        <w:rPr>
          <w:rFonts w:ascii="Century Gothic" w:hAnsi="Century Gothic"/>
          <w:color w:val="595959" w:themeColor="text1" w:themeTint="A6"/>
        </w:rPr>
      </w:pPr>
    </w:p>
    <w:p w14:paraId="0D3B8385" w14:textId="77777777" w:rsidR="00DC6FAF" w:rsidRDefault="00DC6FAF" w:rsidP="000E53FD">
      <w:pPr>
        <w:rPr>
          <w:rFonts w:ascii="Century Gothic" w:hAnsi="Century Gothic"/>
          <w:color w:val="595959" w:themeColor="text1" w:themeTint="A6"/>
        </w:rPr>
      </w:pPr>
    </w:p>
    <w:p w14:paraId="3F31339F" w14:textId="77777777" w:rsidR="00DC6FAF" w:rsidRDefault="00DC6FAF" w:rsidP="000E53FD">
      <w:pPr>
        <w:rPr>
          <w:rFonts w:ascii="Century Gothic" w:hAnsi="Century Gothic"/>
          <w:color w:val="595959" w:themeColor="text1" w:themeTint="A6"/>
        </w:rPr>
      </w:pPr>
    </w:p>
    <w:p w14:paraId="5D963E57" w14:textId="77777777" w:rsidR="00DC6FAF" w:rsidRDefault="00DC6FAF" w:rsidP="000E53FD">
      <w:pPr>
        <w:rPr>
          <w:rFonts w:ascii="Century Gothic" w:hAnsi="Century Gothic"/>
          <w:color w:val="595959" w:themeColor="text1" w:themeTint="A6"/>
        </w:rPr>
      </w:pPr>
    </w:p>
    <w:p w14:paraId="67E278CD" w14:textId="77777777" w:rsidR="00DC6FAF" w:rsidRDefault="00DC6FAF" w:rsidP="000E53FD">
      <w:pPr>
        <w:rPr>
          <w:rFonts w:ascii="Century Gothic" w:hAnsi="Century Gothic"/>
          <w:color w:val="595959" w:themeColor="text1" w:themeTint="A6"/>
        </w:rPr>
      </w:pPr>
    </w:p>
    <w:p w14:paraId="76415192" w14:textId="77777777" w:rsidR="00DC6FAF" w:rsidRDefault="00DC6FAF" w:rsidP="000E53FD">
      <w:pPr>
        <w:rPr>
          <w:rFonts w:ascii="Century Gothic" w:hAnsi="Century Gothic"/>
          <w:color w:val="595959" w:themeColor="text1" w:themeTint="A6"/>
        </w:rPr>
      </w:pPr>
    </w:p>
    <w:p w14:paraId="42E34CF8" w14:textId="77777777" w:rsidR="00DC6FAF" w:rsidRDefault="00DC6FAF" w:rsidP="000E53FD">
      <w:pPr>
        <w:rPr>
          <w:rFonts w:ascii="Century Gothic" w:hAnsi="Century Gothic"/>
          <w:color w:val="595959" w:themeColor="text1" w:themeTint="A6"/>
        </w:rPr>
      </w:pPr>
    </w:p>
    <w:p w14:paraId="250C948C" w14:textId="77777777" w:rsidR="00DC6FAF" w:rsidRDefault="00DC6FAF" w:rsidP="000E53FD">
      <w:pPr>
        <w:rPr>
          <w:rFonts w:ascii="Century Gothic" w:hAnsi="Century Gothic"/>
          <w:color w:val="595959" w:themeColor="text1" w:themeTint="A6"/>
        </w:rPr>
      </w:pPr>
    </w:p>
    <w:p w14:paraId="6EAB7927" w14:textId="77777777" w:rsidR="00DC6FAF" w:rsidRDefault="00DC6FAF" w:rsidP="000E53FD">
      <w:pPr>
        <w:rPr>
          <w:rFonts w:ascii="Century Gothic" w:hAnsi="Century Gothic"/>
          <w:color w:val="595959" w:themeColor="text1" w:themeTint="A6"/>
        </w:rPr>
      </w:pPr>
    </w:p>
    <w:p w14:paraId="4353B325" w14:textId="77777777" w:rsidR="00DC6FAF" w:rsidRDefault="00DC6FAF" w:rsidP="000E53FD">
      <w:pPr>
        <w:rPr>
          <w:rFonts w:ascii="Century Gothic" w:hAnsi="Century Gothic"/>
          <w:color w:val="595959" w:themeColor="text1" w:themeTint="A6"/>
        </w:rPr>
      </w:pPr>
    </w:p>
    <w:p w14:paraId="7D0C7485" w14:textId="77777777" w:rsidR="00DC6FAF" w:rsidRDefault="00DC6FAF" w:rsidP="000E53FD">
      <w:pPr>
        <w:rPr>
          <w:rFonts w:ascii="Century Gothic" w:hAnsi="Century Gothic"/>
          <w:color w:val="595959" w:themeColor="text1" w:themeTint="A6"/>
        </w:rPr>
      </w:pPr>
    </w:p>
    <w:p w14:paraId="61DF099A" w14:textId="77777777" w:rsidR="00DC6FAF" w:rsidRDefault="00DC6FAF" w:rsidP="000E53FD">
      <w:pPr>
        <w:rPr>
          <w:rFonts w:ascii="Century Gothic" w:hAnsi="Century Gothic"/>
          <w:color w:val="595959" w:themeColor="text1" w:themeTint="A6"/>
        </w:rPr>
      </w:pPr>
    </w:p>
    <w:p w14:paraId="44803961" w14:textId="77777777" w:rsidR="00DC6FAF" w:rsidRDefault="00DC6FAF" w:rsidP="000E53FD">
      <w:pPr>
        <w:rPr>
          <w:rFonts w:ascii="Century Gothic" w:hAnsi="Century Gothic"/>
          <w:color w:val="595959" w:themeColor="text1" w:themeTint="A6"/>
        </w:rPr>
      </w:pPr>
    </w:p>
    <w:p w14:paraId="06260F51" w14:textId="77777777" w:rsidR="00DC6FAF" w:rsidRDefault="00DC6FAF" w:rsidP="000E53FD">
      <w:pPr>
        <w:rPr>
          <w:rFonts w:ascii="Century Gothic" w:hAnsi="Century Gothic"/>
          <w:color w:val="595959" w:themeColor="text1" w:themeTint="A6"/>
        </w:rPr>
      </w:pPr>
    </w:p>
    <w:p w14:paraId="7D263811" w14:textId="77777777" w:rsidR="00DC6FAF" w:rsidRDefault="00DC6FAF" w:rsidP="000E53FD">
      <w:pPr>
        <w:rPr>
          <w:rFonts w:ascii="Century Gothic" w:hAnsi="Century Gothic"/>
          <w:color w:val="595959" w:themeColor="text1" w:themeTint="A6"/>
        </w:rPr>
      </w:pPr>
    </w:p>
    <w:p w14:paraId="3E41D35F" w14:textId="77777777" w:rsidR="00DC6FAF" w:rsidRDefault="00DC6FAF" w:rsidP="000E53FD">
      <w:pPr>
        <w:rPr>
          <w:rFonts w:ascii="Century Gothic" w:hAnsi="Century Gothic"/>
          <w:color w:val="595959" w:themeColor="text1" w:themeTint="A6"/>
        </w:rPr>
      </w:pPr>
    </w:p>
    <w:p w14:paraId="7E56AC43" w14:textId="77777777" w:rsidR="00DC6FAF" w:rsidRDefault="00DC6FAF" w:rsidP="000E53FD">
      <w:pPr>
        <w:rPr>
          <w:rFonts w:ascii="Century Gothic" w:hAnsi="Century Gothic"/>
          <w:color w:val="595959" w:themeColor="text1" w:themeTint="A6"/>
        </w:rPr>
      </w:pPr>
    </w:p>
    <w:p w14:paraId="5E1B94DA" w14:textId="77777777" w:rsidR="00DC6FAF" w:rsidRDefault="00DC6FAF" w:rsidP="000E53FD">
      <w:pPr>
        <w:rPr>
          <w:rFonts w:ascii="Century Gothic" w:hAnsi="Century Gothic"/>
          <w:color w:val="595959" w:themeColor="text1" w:themeTint="A6"/>
        </w:rPr>
      </w:pPr>
    </w:p>
    <w:p w14:paraId="632A5B9D" w14:textId="77777777" w:rsidR="00DC6FAF" w:rsidRDefault="00DC6FAF" w:rsidP="000E53FD">
      <w:pPr>
        <w:rPr>
          <w:rFonts w:ascii="Century Gothic" w:hAnsi="Century Gothic"/>
          <w:color w:val="595959" w:themeColor="text1" w:themeTint="A6"/>
        </w:rPr>
      </w:pPr>
    </w:p>
    <w:p w14:paraId="6B098FDE" w14:textId="77777777" w:rsidR="00DC6FAF" w:rsidRDefault="00DC6FAF" w:rsidP="000E53FD">
      <w:pPr>
        <w:rPr>
          <w:rFonts w:ascii="Century Gothic" w:hAnsi="Century Gothic"/>
          <w:color w:val="595959" w:themeColor="text1" w:themeTint="A6"/>
        </w:rPr>
      </w:pPr>
    </w:p>
    <w:p w14:paraId="68E11ED3" w14:textId="77777777" w:rsidR="00DC6FAF" w:rsidRDefault="00DC6FAF" w:rsidP="000E53FD">
      <w:pPr>
        <w:rPr>
          <w:rFonts w:ascii="Century Gothic" w:hAnsi="Century Gothic"/>
          <w:color w:val="595959" w:themeColor="text1" w:themeTint="A6"/>
        </w:rPr>
      </w:pPr>
    </w:p>
    <w:p w14:paraId="1F686324" w14:textId="77777777" w:rsidR="00DC6FAF" w:rsidRDefault="00DC6FAF" w:rsidP="000E53FD">
      <w:pPr>
        <w:rPr>
          <w:rFonts w:ascii="Century Gothic" w:hAnsi="Century Gothic"/>
          <w:color w:val="595959" w:themeColor="text1" w:themeTint="A6"/>
        </w:rPr>
      </w:pPr>
    </w:p>
    <w:p w14:paraId="02B0116E" w14:textId="77777777" w:rsidR="00DC6FAF" w:rsidRDefault="00DC6FAF" w:rsidP="000E53FD">
      <w:pPr>
        <w:rPr>
          <w:rFonts w:ascii="Century Gothic" w:hAnsi="Century Gothic"/>
          <w:color w:val="595959" w:themeColor="text1" w:themeTint="A6"/>
        </w:rPr>
      </w:pPr>
    </w:p>
    <w:p w14:paraId="16B82890" w14:textId="77777777" w:rsidR="00DC6FAF" w:rsidRDefault="00DC6FAF" w:rsidP="000E53FD">
      <w:pPr>
        <w:rPr>
          <w:rFonts w:ascii="Century Gothic" w:hAnsi="Century Gothic"/>
          <w:color w:val="595959" w:themeColor="text1" w:themeTint="A6"/>
        </w:rPr>
      </w:pPr>
    </w:p>
    <w:p w14:paraId="31F8DF3A" w14:textId="77777777" w:rsidR="00DC6FAF" w:rsidRDefault="00DC6FAF" w:rsidP="000E53FD">
      <w:pPr>
        <w:rPr>
          <w:rFonts w:ascii="Century Gothic" w:hAnsi="Century Gothic"/>
          <w:color w:val="595959" w:themeColor="text1" w:themeTint="A6"/>
        </w:rPr>
      </w:pPr>
    </w:p>
    <w:p w14:paraId="33986F6A" w14:textId="77777777" w:rsidR="00DC6FAF" w:rsidRDefault="00DC6FAF" w:rsidP="000E53FD">
      <w:pPr>
        <w:rPr>
          <w:rFonts w:ascii="Century Gothic" w:hAnsi="Century Gothic"/>
          <w:color w:val="595959" w:themeColor="text1" w:themeTint="A6"/>
        </w:rPr>
      </w:pPr>
    </w:p>
    <w:p w14:paraId="79F709F3" w14:textId="77777777" w:rsidR="00DC6FAF" w:rsidRDefault="00DC6FAF" w:rsidP="000E53FD">
      <w:pPr>
        <w:rPr>
          <w:rFonts w:ascii="Century Gothic" w:hAnsi="Century Gothic"/>
          <w:color w:val="595959" w:themeColor="text1" w:themeTint="A6"/>
        </w:rPr>
      </w:pPr>
    </w:p>
    <w:p w14:paraId="1545A451" w14:textId="77777777" w:rsidR="00DC6FAF" w:rsidRDefault="00DC6FAF" w:rsidP="000E53FD">
      <w:pPr>
        <w:rPr>
          <w:rFonts w:ascii="Century Gothic" w:hAnsi="Century Gothic"/>
          <w:color w:val="595959" w:themeColor="text1" w:themeTint="A6"/>
        </w:rPr>
      </w:pPr>
    </w:p>
    <w:p w14:paraId="2BBD86C7" w14:textId="77777777" w:rsidR="00DC6FAF" w:rsidRDefault="00DC6FAF" w:rsidP="000E53FD">
      <w:pPr>
        <w:rPr>
          <w:rFonts w:ascii="Century Gothic" w:hAnsi="Century Gothic"/>
          <w:color w:val="595959" w:themeColor="text1" w:themeTint="A6"/>
        </w:rPr>
      </w:pPr>
    </w:p>
    <w:p w14:paraId="20E8417C" w14:textId="77777777" w:rsidR="00DC6FAF" w:rsidRDefault="00DC6FAF" w:rsidP="000E53FD">
      <w:pPr>
        <w:rPr>
          <w:rFonts w:ascii="Century Gothic" w:hAnsi="Century Gothic"/>
          <w:color w:val="595959" w:themeColor="text1" w:themeTint="A6"/>
        </w:rPr>
      </w:pPr>
    </w:p>
    <w:p w14:paraId="0924E693" w14:textId="77777777" w:rsidR="00DC6FAF" w:rsidRPr="001522B0" w:rsidRDefault="00DC6FAF" w:rsidP="000E53FD">
      <w:pPr>
        <w:rPr>
          <w:rFonts w:ascii="Century Gothic" w:hAnsi="Century Gothic"/>
          <w:color w:val="595959" w:themeColor="text1" w:themeTint="A6"/>
        </w:rPr>
      </w:pPr>
    </w:p>
    <w:p w14:paraId="67AE558A" w14:textId="77777777" w:rsidR="000E53FD" w:rsidRPr="001522B0" w:rsidRDefault="000E53FD" w:rsidP="000E53FD">
      <w:pPr>
        <w:pStyle w:val="Piedepgina"/>
        <w:jc w:val="both"/>
        <w:rPr>
          <w:rFonts w:ascii="Century Gothic" w:hAnsi="Century Gothic" w:cs="Arial"/>
          <w:b/>
          <w:color w:val="595959" w:themeColor="text1" w:themeTint="A6"/>
        </w:rPr>
      </w:pPr>
      <w:r w:rsidRPr="001522B0">
        <w:rPr>
          <w:rFonts w:ascii="Century Gothic" w:hAnsi="Century Gothic" w:cs="Arial"/>
          <w:b/>
          <w:color w:val="595959" w:themeColor="text1" w:themeTint="A6"/>
        </w:rPr>
        <w:t xml:space="preserve">Dirección/Departamento </w:t>
      </w:r>
    </w:p>
    <w:p w14:paraId="26147B8E" w14:textId="77777777" w:rsidR="000E53FD" w:rsidRPr="001522B0" w:rsidRDefault="000E53FD" w:rsidP="000E53FD">
      <w:pPr>
        <w:pStyle w:val="Piedepgina"/>
        <w:jc w:val="both"/>
        <w:rPr>
          <w:rFonts w:ascii="Century Gothic" w:hAnsi="Century Gothic" w:cs="Arial"/>
          <w:color w:val="595959" w:themeColor="text1" w:themeTint="A6"/>
        </w:rPr>
      </w:pPr>
      <w:r w:rsidRPr="001522B0">
        <w:rPr>
          <w:rFonts w:ascii="Century Gothic" w:hAnsi="Century Gothic" w:cs="Arial"/>
          <w:color w:val="595959" w:themeColor="text1" w:themeTint="A6"/>
        </w:rPr>
        <w:t xml:space="preserve">Dirección de Estadística Económicas </w:t>
      </w:r>
    </w:p>
    <w:p w14:paraId="7AD4CA0E" w14:textId="77777777" w:rsidR="000E53FD" w:rsidRPr="001522B0" w:rsidRDefault="000E53FD" w:rsidP="000E53FD">
      <w:pPr>
        <w:pStyle w:val="Piedepgina"/>
        <w:jc w:val="both"/>
        <w:rPr>
          <w:rFonts w:ascii="Century Gothic" w:hAnsi="Century Gothic" w:cs="Arial"/>
          <w:color w:val="595959" w:themeColor="text1" w:themeTint="A6"/>
        </w:rPr>
      </w:pPr>
    </w:p>
    <w:p w14:paraId="50586243" w14:textId="77777777" w:rsidR="000E53FD" w:rsidRPr="001522B0" w:rsidRDefault="000E53FD" w:rsidP="000E53FD">
      <w:pPr>
        <w:pStyle w:val="Piedepgina"/>
        <w:jc w:val="both"/>
        <w:rPr>
          <w:rFonts w:ascii="Century Gothic" w:hAnsi="Century Gothic" w:cs="Arial"/>
          <w:b/>
          <w:color w:val="595959" w:themeColor="text1" w:themeTint="A6"/>
        </w:rPr>
      </w:pPr>
      <w:r w:rsidRPr="001522B0">
        <w:rPr>
          <w:rFonts w:ascii="Century Gothic" w:hAnsi="Century Gothic" w:cs="Arial"/>
          <w:b/>
          <w:color w:val="595959" w:themeColor="text1" w:themeTint="A6"/>
        </w:rPr>
        <w:t>Unidad</w:t>
      </w:r>
    </w:p>
    <w:p w14:paraId="69BE82D2" w14:textId="77777777" w:rsidR="000E53FD" w:rsidRPr="001522B0" w:rsidRDefault="000E53FD" w:rsidP="000E53FD">
      <w:pPr>
        <w:pStyle w:val="Piedepgina"/>
        <w:jc w:val="both"/>
        <w:rPr>
          <w:rFonts w:ascii="Century Gothic" w:hAnsi="Century Gothic" w:cs="Arial"/>
          <w:color w:val="595959" w:themeColor="text1" w:themeTint="A6"/>
        </w:rPr>
      </w:pPr>
      <w:r w:rsidRPr="001522B0">
        <w:rPr>
          <w:rFonts w:ascii="Century Gothic" w:hAnsi="Century Gothic" w:cs="Arial"/>
          <w:color w:val="595959" w:themeColor="text1" w:themeTint="A6"/>
        </w:rPr>
        <w:t>Gestión de Estadísticas Estructurales (GESE)</w:t>
      </w:r>
    </w:p>
    <w:p w14:paraId="4CADB45D" w14:textId="77777777" w:rsidR="000E53FD" w:rsidRPr="001522B0" w:rsidRDefault="000E53FD" w:rsidP="000E53FD">
      <w:pPr>
        <w:pStyle w:val="Piedepgina"/>
        <w:jc w:val="both"/>
        <w:rPr>
          <w:rFonts w:ascii="Century Gothic" w:hAnsi="Century Gothic" w:cs="Arial"/>
          <w:color w:val="595959" w:themeColor="text1" w:themeTint="A6"/>
        </w:rPr>
      </w:pPr>
    </w:p>
    <w:p w14:paraId="3EED3A36" w14:textId="77777777" w:rsidR="000E53FD" w:rsidRPr="001522B0" w:rsidRDefault="000E53FD" w:rsidP="000E53FD">
      <w:pPr>
        <w:pStyle w:val="Encabezado"/>
        <w:jc w:val="both"/>
        <w:rPr>
          <w:rFonts w:ascii="Century Gothic" w:hAnsi="Century Gothic" w:cs="Arial"/>
          <w:b/>
          <w:color w:val="595959" w:themeColor="text1" w:themeTint="A6"/>
        </w:rPr>
      </w:pPr>
      <w:r w:rsidRPr="001522B0">
        <w:rPr>
          <w:rFonts w:ascii="Century Gothic" w:hAnsi="Century Gothic" w:cs="Arial"/>
          <w:b/>
          <w:color w:val="595959" w:themeColor="text1" w:themeTint="A6"/>
        </w:rPr>
        <w:t>Elaborado por:</w:t>
      </w:r>
    </w:p>
    <w:p w14:paraId="2DDF0F12" w14:textId="77777777" w:rsidR="00F5630B" w:rsidRPr="001522B0" w:rsidRDefault="00F5630B" w:rsidP="00F5630B">
      <w:pPr>
        <w:pStyle w:val="Encabezado"/>
        <w:rPr>
          <w:rFonts w:ascii="Century Gothic" w:hAnsi="Century Gothic" w:cs="Arial"/>
          <w:color w:val="595959" w:themeColor="text1" w:themeTint="A6"/>
        </w:rPr>
      </w:pPr>
      <w:r w:rsidRPr="001522B0">
        <w:rPr>
          <w:rFonts w:ascii="Century Gothic" w:hAnsi="Century Gothic" w:cs="Arial"/>
          <w:color w:val="595959" w:themeColor="text1" w:themeTint="A6"/>
        </w:rPr>
        <w:t>Jordan Ayala</w:t>
      </w:r>
    </w:p>
    <w:p w14:paraId="6151FD21" w14:textId="77777777" w:rsidR="00F5630B" w:rsidRPr="001522B0" w:rsidRDefault="00F5630B" w:rsidP="00F5630B">
      <w:pPr>
        <w:pStyle w:val="Encabezado"/>
        <w:rPr>
          <w:rFonts w:ascii="Century Gothic" w:hAnsi="Century Gothic" w:cs="Arial"/>
          <w:color w:val="595959" w:themeColor="text1" w:themeTint="A6"/>
        </w:rPr>
      </w:pPr>
      <w:r w:rsidRPr="001522B0">
        <w:rPr>
          <w:rFonts w:ascii="Century Gothic" w:hAnsi="Century Gothic" w:cs="Arial"/>
          <w:color w:val="595959" w:themeColor="text1" w:themeTint="A6"/>
        </w:rPr>
        <w:t>Josseline Gavilánez</w:t>
      </w:r>
    </w:p>
    <w:p w14:paraId="2168C1CB" w14:textId="77777777" w:rsidR="00F5630B" w:rsidRPr="001522B0" w:rsidRDefault="00F5630B" w:rsidP="00F5630B">
      <w:pPr>
        <w:pStyle w:val="Encabezado"/>
        <w:rPr>
          <w:rFonts w:ascii="Century Gothic" w:hAnsi="Century Gothic" w:cs="Arial"/>
          <w:color w:val="595959" w:themeColor="text1" w:themeTint="A6"/>
        </w:rPr>
      </w:pPr>
      <w:r w:rsidRPr="001522B0">
        <w:rPr>
          <w:rFonts w:ascii="Century Gothic" w:hAnsi="Century Gothic" w:cs="Arial"/>
          <w:color w:val="595959" w:themeColor="text1" w:themeTint="A6"/>
        </w:rPr>
        <w:t>Jorge León</w:t>
      </w:r>
    </w:p>
    <w:p w14:paraId="4ADF4450" w14:textId="77777777" w:rsidR="00F5630B" w:rsidRPr="001522B0" w:rsidRDefault="00F5630B" w:rsidP="00F5630B">
      <w:pPr>
        <w:pStyle w:val="Encabezado"/>
        <w:rPr>
          <w:rFonts w:ascii="Century Gothic" w:hAnsi="Century Gothic" w:cs="Arial"/>
          <w:color w:val="595959" w:themeColor="text1" w:themeTint="A6"/>
        </w:rPr>
      </w:pPr>
      <w:r w:rsidRPr="001522B0">
        <w:rPr>
          <w:rFonts w:ascii="Century Gothic" w:hAnsi="Century Gothic" w:cs="Arial"/>
          <w:color w:val="595959" w:themeColor="text1" w:themeTint="A6"/>
        </w:rPr>
        <w:t>Diana Montalván</w:t>
      </w:r>
    </w:p>
    <w:p w14:paraId="724C9A69" w14:textId="77777777" w:rsidR="00F5630B" w:rsidRPr="001522B0" w:rsidRDefault="00F5630B" w:rsidP="00F5630B">
      <w:pPr>
        <w:pStyle w:val="Encabezado"/>
        <w:rPr>
          <w:rFonts w:ascii="Century Gothic" w:hAnsi="Century Gothic" w:cs="Arial"/>
          <w:color w:val="595959" w:themeColor="text1" w:themeTint="A6"/>
        </w:rPr>
      </w:pPr>
      <w:r w:rsidRPr="001522B0">
        <w:rPr>
          <w:rFonts w:ascii="Century Gothic" w:hAnsi="Century Gothic" w:cs="Arial"/>
          <w:color w:val="595959" w:themeColor="text1" w:themeTint="A6"/>
        </w:rPr>
        <w:t>Alysson Pinzón</w:t>
      </w:r>
    </w:p>
    <w:p w14:paraId="7FCC96D1" w14:textId="77777777" w:rsidR="00F5630B" w:rsidRPr="001522B0" w:rsidRDefault="00F5630B" w:rsidP="005D6130">
      <w:pPr>
        <w:pStyle w:val="Encabezado"/>
        <w:rPr>
          <w:rFonts w:ascii="Century Gothic" w:hAnsi="Century Gothic" w:cs="Arial"/>
          <w:color w:val="595959" w:themeColor="text1" w:themeTint="A6"/>
        </w:rPr>
      </w:pPr>
      <w:r w:rsidRPr="001522B0">
        <w:rPr>
          <w:rFonts w:ascii="Century Gothic" w:hAnsi="Century Gothic" w:cs="Arial"/>
          <w:color w:val="595959" w:themeColor="text1" w:themeTint="A6"/>
        </w:rPr>
        <w:t>Brayan Rodríguez</w:t>
      </w:r>
    </w:p>
    <w:p w14:paraId="66C2C6AF" w14:textId="77777777" w:rsidR="00B44EA4" w:rsidRPr="001522B0" w:rsidRDefault="00B44EA4" w:rsidP="005D6130">
      <w:pPr>
        <w:pStyle w:val="Encabezado"/>
        <w:rPr>
          <w:rFonts w:ascii="Century Gothic" w:hAnsi="Century Gothic" w:cs="Arial"/>
        </w:rPr>
      </w:pPr>
    </w:p>
    <w:p w14:paraId="594D2407" w14:textId="77777777" w:rsidR="000E53FD" w:rsidRPr="001522B0" w:rsidRDefault="000E53FD" w:rsidP="000E53FD">
      <w:pPr>
        <w:pStyle w:val="Encabezado"/>
        <w:jc w:val="both"/>
        <w:rPr>
          <w:rFonts w:ascii="Century Gothic" w:hAnsi="Century Gothic" w:cs="Arial"/>
          <w:b/>
          <w:color w:val="595959" w:themeColor="text1" w:themeTint="A6"/>
        </w:rPr>
      </w:pPr>
      <w:r w:rsidRPr="001522B0">
        <w:rPr>
          <w:rFonts w:ascii="Century Gothic" w:hAnsi="Century Gothic" w:cs="Arial"/>
          <w:b/>
          <w:color w:val="595959" w:themeColor="text1" w:themeTint="A6"/>
        </w:rPr>
        <w:t xml:space="preserve">Revisado por: </w:t>
      </w:r>
    </w:p>
    <w:p w14:paraId="7F6C156D" w14:textId="77777777" w:rsidR="000E53FD" w:rsidRPr="001522B0" w:rsidRDefault="000E53FD" w:rsidP="000E53FD">
      <w:pPr>
        <w:pStyle w:val="Encabezado"/>
        <w:jc w:val="both"/>
        <w:rPr>
          <w:rFonts w:ascii="Century Gothic" w:hAnsi="Century Gothic" w:cs="Arial"/>
          <w:color w:val="595959" w:themeColor="text1" w:themeTint="A6"/>
        </w:rPr>
      </w:pPr>
      <w:r w:rsidRPr="001522B0">
        <w:rPr>
          <w:rFonts w:ascii="Century Gothic" w:hAnsi="Century Gothic" w:cs="Arial"/>
          <w:color w:val="595959" w:themeColor="text1" w:themeTint="A6"/>
        </w:rPr>
        <w:t>Rita Jácome</w:t>
      </w:r>
    </w:p>
    <w:p w14:paraId="707F0496" w14:textId="77777777" w:rsidR="000E53FD" w:rsidRPr="001522B0" w:rsidRDefault="000E53FD" w:rsidP="000E53FD">
      <w:pPr>
        <w:pStyle w:val="Encabezado"/>
        <w:jc w:val="both"/>
        <w:rPr>
          <w:rFonts w:ascii="Century Gothic" w:hAnsi="Century Gothic" w:cs="Arial"/>
          <w:color w:val="595959" w:themeColor="text1" w:themeTint="A6"/>
        </w:rPr>
      </w:pPr>
      <w:r w:rsidRPr="001522B0">
        <w:rPr>
          <w:rFonts w:ascii="Century Gothic" w:hAnsi="Century Gothic" w:cs="Arial"/>
          <w:color w:val="595959" w:themeColor="text1" w:themeTint="A6"/>
        </w:rPr>
        <w:t>Roberto Chaves</w:t>
      </w:r>
    </w:p>
    <w:p w14:paraId="53DFD06C" w14:textId="77777777" w:rsidR="000E53FD" w:rsidRPr="001522B0" w:rsidRDefault="000E53FD" w:rsidP="000E53FD">
      <w:pPr>
        <w:pStyle w:val="Encabezado"/>
        <w:jc w:val="both"/>
        <w:rPr>
          <w:rFonts w:ascii="Century Gothic" w:hAnsi="Century Gothic" w:cs="Arial"/>
          <w:color w:val="595959" w:themeColor="text1" w:themeTint="A6"/>
        </w:rPr>
      </w:pPr>
      <w:r w:rsidRPr="001522B0">
        <w:rPr>
          <w:rFonts w:ascii="Century Gothic" w:hAnsi="Century Gothic" w:cs="Arial"/>
          <w:color w:val="595959" w:themeColor="text1" w:themeTint="A6"/>
        </w:rPr>
        <w:t>Diana Barco</w:t>
      </w:r>
    </w:p>
    <w:p w14:paraId="4C4BA8A8" w14:textId="77777777" w:rsidR="000E53FD" w:rsidRPr="001522B0" w:rsidRDefault="000E53FD" w:rsidP="000E53FD">
      <w:pPr>
        <w:pStyle w:val="Encabezado"/>
        <w:jc w:val="both"/>
        <w:rPr>
          <w:rFonts w:ascii="Century Gothic" w:hAnsi="Century Gothic" w:cs="Arial"/>
          <w:color w:val="595959" w:themeColor="text1" w:themeTint="A6"/>
        </w:rPr>
      </w:pPr>
    </w:p>
    <w:p w14:paraId="0D9224AE" w14:textId="77777777" w:rsidR="000E53FD" w:rsidRPr="001522B0" w:rsidRDefault="000E53FD" w:rsidP="000E53FD">
      <w:pPr>
        <w:pStyle w:val="Encabezado"/>
        <w:jc w:val="both"/>
        <w:rPr>
          <w:rFonts w:ascii="Century Gothic" w:hAnsi="Century Gothic" w:cs="Arial"/>
          <w:b/>
          <w:color w:val="595959" w:themeColor="text1" w:themeTint="A6"/>
        </w:rPr>
      </w:pPr>
      <w:r w:rsidRPr="001522B0">
        <w:rPr>
          <w:rFonts w:ascii="Century Gothic" w:hAnsi="Century Gothic" w:cs="Arial"/>
          <w:b/>
          <w:color w:val="595959" w:themeColor="text1" w:themeTint="A6"/>
        </w:rPr>
        <w:t>Aprobado por:</w:t>
      </w:r>
    </w:p>
    <w:p w14:paraId="3A95CD0D" w14:textId="77777777" w:rsidR="000E53FD" w:rsidRPr="001522B0" w:rsidRDefault="000E53FD" w:rsidP="000E53FD">
      <w:pPr>
        <w:pStyle w:val="Encabezado"/>
        <w:jc w:val="both"/>
        <w:rPr>
          <w:rFonts w:ascii="Century Gothic" w:hAnsi="Century Gothic" w:cs="Arial"/>
          <w:b/>
          <w:color w:val="595959" w:themeColor="text1" w:themeTint="A6"/>
        </w:rPr>
      </w:pPr>
      <w:r w:rsidRPr="001522B0">
        <w:rPr>
          <w:rFonts w:ascii="Century Gothic" w:hAnsi="Century Gothic" w:cs="Arial"/>
          <w:color w:val="595959" w:themeColor="text1" w:themeTint="A6"/>
        </w:rPr>
        <w:t>Julio</w:t>
      </w:r>
      <w:r w:rsidRPr="001522B0">
        <w:rPr>
          <w:rFonts w:ascii="Century Gothic" w:hAnsi="Century Gothic" w:cs="Arial"/>
          <w:b/>
          <w:bCs/>
          <w:color w:val="595959" w:themeColor="text1" w:themeTint="A6"/>
        </w:rPr>
        <w:t xml:space="preserve"> </w:t>
      </w:r>
      <w:r w:rsidRPr="001522B0">
        <w:rPr>
          <w:rFonts w:ascii="Century Gothic" w:hAnsi="Century Gothic" w:cs="Arial"/>
          <w:color w:val="595959" w:themeColor="text1" w:themeTint="A6"/>
        </w:rPr>
        <w:t>Muñoz</w:t>
      </w:r>
    </w:p>
    <w:p w14:paraId="1FE83B26" w14:textId="77777777" w:rsidR="000E53FD" w:rsidRPr="0089450F" w:rsidRDefault="000E53FD" w:rsidP="000E53FD">
      <w:pPr>
        <w:rPr>
          <w:rFonts w:ascii="Century Gothic" w:hAnsi="Century Gothic"/>
          <w:color w:val="595959" w:themeColor="text1" w:themeTint="A6"/>
          <w:sz w:val="21"/>
          <w:szCs w:val="21"/>
        </w:rPr>
      </w:pPr>
    </w:p>
    <w:p w14:paraId="2B31E8F6" w14:textId="77777777" w:rsidR="00DC6FAF" w:rsidRDefault="00DC6FAF">
      <w:pPr>
        <w:rPr>
          <w:rFonts w:ascii="Century Gothic" w:hAnsi="Century Gothic"/>
        </w:rPr>
      </w:pPr>
      <w:r>
        <w:rPr>
          <w:rFonts w:ascii="Century Gothic" w:hAnsi="Century Gothic"/>
        </w:rPr>
        <w:br w:type="page"/>
      </w:r>
    </w:p>
    <w:bookmarkStart w:id="0" w:name="_Toc161322527" w:displacedByCustomXml="next"/>
    <w:bookmarkStart w:id="1" w:name="_Toc161297001" w:displacedByCustomXml="next"/>
    <w:sdt>
      <w:sdtPr>
        <w:rPr>
          <w:rFonts w:asciiTheme="minorHAnsi" w:eastAsiaTheme="minorHAnsi" w:hAnsiTheme="minorHAnsi" w:cstheme="minorBidi"/>
          <w:b w:val="0"/>
          <w:color w:val="595959" w:themeColor="text1" w:themeTint="A6"/>
          <w:sz w:val="21"/>
          <w:szCs w:val="21"/>
          <w:lang w:val="es-ES"/>
        </w:rPr>
        <w:id w:val="1985743210"/>
        <w:docPartObj>
          <w:docPartGallery w:val="Table of Contents"/>
          <w:docPartUnique/>
        </w:docPartObj>
      </w:sdtPr>
      <w:sdtEndPr>
        <w:rPr>
          <w:color w:val="auto"/>
          <w:sz w:val="24"/>
          <w:szCs w:val="24"/>
        </w:rPr>
      </w:sdtEndPr>
      <w:sdtContent>
        <w:bookmarkStart w:id="2" w:name="_Toc155867173" w:displacedByCustomXml="prev"/>
        <w:p w14:paraId="24EA9164" w14:textId="0A1F19A5" w:rsidR="00CE2EB4" w:rsidRPr="00CE2EB4" w:rsidRDefault="00E57CD6" w:rsidP="002022CC">
          <w:pPr>
            <w:pStyle w:val="Ttulo3"/>
            <w:spacing w:line="276" w:lineRule="auto"/>
            <w:ind w:left="284"/>
            <w:rPr>
              <w:rStyle w:val="Hipervnculo"/>
              <w:noProof/>
              <w:color w:val="20275D"/>
              <w:u w:val="none"/>
            </w:rPr>
          </w:pPr>
          <w:r w:rsidRPr="00897A16">
            <w:rPr>
              <w:rStyle w:val="Hipervnculo"/>
              <w:rFonts w:eastAsiaTheme="minorHAnsi" w:cstheme="minorBidi"/>
              <w:noProof/>
              <w:color w:val="595959" w:themeColor="text1" w:themeTint="A6"/>
              <w:sz w:val="40"/>
              <w:szCs w:val="21"/>
              <w:u w:val="none"/>
            </w:rPr>
            <w:t>Tabla de contenidos</w:t>
          </w:r>
          <w:bookmarkEnd w:id="1"/>
          <w:bookmarkEnd w:id="0"/>
          <w:bookmarkEnd w:id="2"/>
          <w:r w:rsidRPr="00897A16">
            <w:rPr>
              <w:rStyle w:val="Hipervnculo"/>
              <w:b w:val="0"/>
              <w:noProof/>
              <w:color w:val="595959" w:themeColor="text1" w:themeTint="A6"/>
            </w:rPr>
            <w:fldChar w:fldCharType="begin"/>
          </w:r>
          <w:r w:rsidRPr="00897A16">
            <w:rPr>
              <w:rStyle w:val="Hipervnculo"/>
              <w:rFonts w:eastAsiaTheme="minorHAnsi" w:cstheme="minorBidi"/>
              <w:b w:val="0"/>
              <w:noProof/>
              <w:color w:val="595959" w:themeColor="text1" w:themeTint="A6"/>
            </w:rPr>
            <w:instrText xml:space="preserve"> TOC \o "1-3" \h \z \u </w:instrText>
          </w:r>
          <w:r w:rsidRPr="00897A16">
            <w:rPr>
              <w:rStyle w:val="Hipervnculo"/>
              <w:b w:val="0"/>
              <w:noProof/>
              <w:color w:val="595959" w:themeColor="text1" w:themeTint="A6"/>
            </w:rPr>
            <w:fldChar w:fldCharType="separate"/>
          </w:r>
        </w:p>
        <w:p w14:paraId="55D86E09"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28" w:history="1">
            <w:r w:rsidR="00CE2EB4" w:rsidRPr="00CE2EB4">
              <w:rPr>
                <w:rStyle w:val="Hipervnculo"/>
                <w:rFonts w:ascii="Century Gothic" w:hAnsi="Century Gothic"/>
                <w:iCs/>
                <w:noProof/>
                <w:color w:val="6E6E7C"/>
                <w:sz w:val="21"/>
                <w:szCs w:val="21"/>
              </w:rPr>
              <w:t>Lista de ilustraciones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_Toc161322528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w:t>
            </w:r>
            <w:r w:rsidR="00CE2EB4" w:rsidRPr="00CE2EB4">
              <w:rPr>
                <w:rStyle w:val="Hipervnculo"/>
                <w:rFonts w:ascii="Century Gothic" w:hAnsi="Century Gothic"/>
                <w:iCs/>
                <w:noProof/>
                <w:webHidden/>
                <w:color w:val="6E6E7C"/>
                <w:sz w:val="21"/>
                <w:szCs w:val="21"/>
              </w:rPr>
              <w:fldChar w:fldCharType="end"/>
            </w:r>
          </w:hyperlink>
        </w:p>
        <w:p w14:paraId="6B023EC3"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29" w:history="1">
            <w:r w:rsidR="00CE2EB4" w:rsidRPr="00CE2EB4">
              <w:rPr>
                <w:rStyle w:val="Hipervnculo"/>
                <w:rFonts w:ascii="Century Gothic" w:hAnsi="Century Gothic"/>
                <w:iCs/>
                <w:noProof/>
                <w:color w:val="6E6E7C"/>
                <w:sz w:val="21"/>
                <w:szCs w:val="21"/>
              </w:rPr>
              <w:t>Lista de tablas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_Toc161322529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w:t>
            </w:r>
            <w:r w:rsidR="00CE2EB4" w:rsidRPr="00CE2EB4">
              <w:rPr>
                <w:rStyle w:val="Hipervnculo"/>
                <w:rFonts w:ascii="Century Gothic" w:hAnsi="Century Gothic"/>
                <w:iCs/>
                <w:noProof/>
                <w:webHidden/>
                <w:color w:val="6E6E7C"/>
                <w:sz w:val="21"/>
                <w:szCs w:val="21"/>
              </w:rPr>
              <w:fldChar w:fldCharType="end"/>
            </w:r>
          </w:hyperlink>
        </w:p>
        <w:p w14:paraId="502EA378"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30" w:history="1">
            <w:r w:rsidR="00CE2EB4" w:rsidRPr="00CE2EB4">
              <w:rPr>
                <w:rStyle w:val="Hipervnculo"/>
                <w:rFonts w:ascii="Century Gothic" w:hAnsi="Century Gothic"/>
                <w:iCs/>
                <w:noProof/>
                <w:color w:val="6E6E7C"/>
                <w:sz w:val="21"/>
                <w:szCs w:val="21"/>
              </w:rPr>
              <w:t>Lista de anexos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w:t>
            </w:r>
            <w:r w:rsidR="00CE2EB4" w:rsidRPr="00CE2EB4">
              <w:rPr>
                <w:rStyle w:val="Hipervnculo"/>
                <w:rFonts w:ascii="Century Gothic" w:hAnsi="Century Gothic"/>
                <w:iCs/>
                <w:noProof/>
                <w:webHidden/>
                <w:color w:val="6E6E7C"/>
                <w:sz w:val="21"/>
                <w:szCs w:val="21"/>
              </w:rPr>
              <w:fldChar w:fldCharType="end"/>
            </w:r>
          </w:hyperlink>
        </w:p>
        <w:p w14:paraId="0893539F"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32" w:history="1">
            <w:r w:rsidR="00CE2EB4" w:rsidRPr="00CE2EB4">
              <w:rPr>
                <w:rStyle w:val="Hipervnculo"/>
                <w:rFonts w:ascii="Century Gothic" w:hAnsi="Century Gothic"/>
                <w:iCs/>
                <w:noProof/>
                <w:color w:val="6E6E7C"/>
                <w:sz w:val="21"/>
                <w:szCs w:val="21"/>
              </w:rPr>
              <w:t>Ficha técnica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9</w:t>
            </w:r>
            <w:r w:rsidR="00CE2EB4" w:rsidRPr="00CE2EB4">
              <w:rPr>
                <w:rStyle w:val="Hipervnculo"/>
                <w:rFonts w:ascii="Century Gothic" w:hAnsi="Century Gothic"/>
                <w:iCs/>
                <w:noProof/>
                <w:webHidden/>
                <w:color w:val="6E6E7C"/>
                <w:sz w:val="21"/>
                <w:szCs w:val="21"/>
              </w:rPr>
              <w:fldChar w:fldCharType="end"/>
            </w:r>
          </w:hyperlink>
        </w:p>
        <w:p w14:paraId="16FBAE17"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33" w:history="1">
            <w:r w:rsidR="00CE2EB4" w:rsidRPr="00CE2EB4">
              <w:rPr>
                <w:rStyle w:val="Hipervnculo"/>
                <w:rFonts w:ascii="Century Gothic" w:hAnsi="Century Gothic"/>
                <w:iCs/>
                <w:noProof/>
                <w:color w:val="6E6E7C"/>
                <w:sz w:val="21"/>
                <w:szCs w:val="21"/>
              </w:rPr>
              <w:t>Prólogo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11</w:t>
            </w:r>
            <w:r w:rsidR="00CE2EB4" w:rsidRPr="00CE2EB4">
              <w:rPr>
                <w:rStyle w:val="Hipervnculo"/>
                <w:rFonts w:ascii="Century Gothic" w:hAnsi="Century Gothic"/>
                <w:iCs/>
                <w:noProof/>
                <w:webHidden/>
                <w:color w:val="6E6E7C"/>
                <w:sz w:val="21"/>
                <w:szCs w:val="21"/>
              </w:rPr>
              <w:fldChar w:fldCharType="end"/>
            </w:r>
          </w:hyperlink>
        </w:p>
        <w:p w14:paraId="50526C17"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34" w:history="1">
            <w:r w:rsidR="00CE2EB4" w:rsidRPr="00CE2EB4">
              <w:rPr>
                <w:rStyle w:val="Hipervnculo"/>
                <w:rFonts w:ascii="Century Gothic" w:hAnsi="Century Gothic"/>
                <w:iCs/>
                <w:noProof/>
                <w:color w:val="6E6E7C"/>
                <w:sz w:val="21"/>
                <w:szCs w:val="21"/>
              </w:rPr>
              <w:t>Resumen ejecutivo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13</w:t>
            </w:r>
            <w:r w:rsidR="00CE2EB4" w:rsidRPr="00CE2EB4">
              <w:rPr>
                <w:rStyle w:val="Hipervnculo"/>
                <w:rFonts w:ascii="Century Gothic" w:hAnsi="Century Gothic"/>
                <w:iCs/>
                <w:noProof/>
                <w:webHidden/>
                <w:color w:val="6E6E7C"/>
                <w:sz w:val="21"/>
                <w:szCs w:val="21"/>
              </w:rPr>
              <w:fldChar w:fldCharType="end"/>
            </w:r>
          </w:hyperlink>
        </w:p>
        <w:p w14:paraId="05098FFE"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35" w:history="1">
            <w:r w:rsidR="00CE2EB4" w:rsidRPr="00CE2EB4">
              <w:rPr>
                <w:rStyle w:val="Hipervnculo"/>
                <w:rFonts w:ascii="Century Gothic" w:hAnsi="Century Gothic"/>
                <w:iCs/>
                <w:noProof/>
                <w:color w:val="6E6E7C"/>
                <w:sz w:val="21"/>
                <w:szCs w:val="21"/>
              </w:rPr>
              <w:t>Introducción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14</w:t>
            </w:r>
            <w:r w:rsidR="00CE2EB4" w:rsidRPr="00CE2EB4">
              <w:rPr>
                <w:rStyle w:val="Hipervnculo"/>
                <w:rFonts w:ascii="Century Gothic" w:hAnsi="Century Gothic"/>
                <w:iCs/>
                <w:noProof/>
                <w:webHidden/>
                <w:color w:val="6E6E7C"/>
                <w:sz w:val="21"/>
                <w:szCs w:val="21"/>
              </w:rPr>
              <w:fldChar w:fldCharType="end"/>
            </w:r>
          </w:hyperlink>
        </w:p>
        <w:p w14:paraId="5AE5AA62"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36" w:history="1">
            <w:r w:rsidR="00CE2EB4" w:rsidRPr="00CE2EB4">
              <w:rPr>
                <w:rStyle w:val="Hipervnculo"/>
                <w:rFonts w:ascii="Century Gothic" w:hAnsi="Century Gothic"/>
                <w:iCs/>
                <w:noProof/>
                <w:color w:val="6E6E7C"/>
                <w:sz w:val="21"/>
                <w:szCs w:val="21"/>
              </w:rPr>
              <w:t>Antecedentes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16</w:t>
            </w:r>
            <w:r w:rsidR="00CE2EB4" w:rsidRPr="00CE2EB4">
              <w:rPr>
                <w:rStyle w:val="Hipervnculo"/>
                <w:rFonts w:ascii="Century Gothic" w:hAnsi="Century Gothic"/>
                <w:iCs/>
                <w:noProof/>
                <w:webHidden/>
                <w:color w:val="6E6E7C"/>
                <w:sz w:val="21"/>
                <w:szCs w:val="21"/>
              </w:rPr>
              <w:fldChar w:fldCharType="end"/>
            </w:r>
          </w:hyperlink>
        </w:p>
        <w:p w14:paraId="37C66AC3"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37" w:history="1">
            <w:r w:rsidR="00CE2EB4" w:rsidRPr="00CE2EB4">
              <w:rPr>
                <w:rStyle w:val="Hipervnculo"/>
                <w:rFonts w:ascii="Century Gothic" w:hAnsi="Century Gothic"/>
                <w:iCs/>
                <w:noProof/>
                <w:color w:val="6E6E7C"/>
                <w:sz w:val="21"/>
                <w:szCs w:val="21"/>
              </w:rPr>
              <w:t>1.</w:t>
            </w:r>
            <w:r w:rsidR="00CE2EB4" w:rsidRPr="00CE2EB4">
              <w:rPr>
                <w:rStyle w:val="Hipervnculo"/>
                <w:rFonts w:ascii="Century Gothic" w:hAnsi="Century Gothic"/>
                <w:iCs/>
                <w:noProof/>
                <w:color w:val="6E6E7C"/>
                <w:sz w:val="21"/>
                <w:szCs w:val="21"/>
              </w:rPr>
              <w:tab/>
              <w:t>Planificación y conceptualización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_Toc161322537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21</w:t>
            </w:r>
            <w:r w:rsidR="00CE2EB4" w:rsidRPr="00CE2EB4">
              <w:rPr>
                <w:rStyle w:val="Hipervnculo"/>
                <w:rFonts w:ascii="Century Gothic" w:hAnsi="Century Gothic"/>
                <w:iCs/>
                <w:noProof/>
                <w:webHidden/>
                <w:color w:val="6E6E7C"/>
                <w:sz w:val="21"/>
                <w:szCs w:val="21"/>
              </w:rPr>
              <w:fldChar w:fldCharType="end"/>
            </w:r>
          </w:hyperlink>
        </w:p>
        <w:p w14:paraId="51FA89AA"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38" w:history="1">
            <w:r w:rsidR="00CE2EB4" w:rsidRPr="00CE2EB4">
              <w:rPr>
                <w:rStyle w:val="Hipervnculo"/>
                <w:rFonts w:ascii="Century Gothic" w:hAnsi="Century Gothic"/>
                <w:iCs/>
                <w:noProof/>
                <w:color w:val="6E6E7C"/>
                <w:sz w:val="21"/>
                <w:szCs w:val="21"/>
              </w:rPr>
              <w:t>1.1.</w:t>
            </w:r>
            <w:r w:rsidR="00CE2EB4" w:rsidRPr="00CE2EB4">
              <w:rPr>
                <w:rStyle w:val="Hipervnculo"/>
                <w:rFonts w:ascii="Century Gothic" w:hAnsi="Century Gothic"/>
                <w:iCs/>
                <w:noProof/>
                <w:color w:val="6E6E7C"/>
                <w:sz w:val="21"/>
                <w:szCs w:val="21"/>
              </w:rPr>
              <w:tab/>
              <w:t>Necesidad y utilidad de la información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21</w:t>
            </w:r>
            <w:r w:rsidR="00CE2EB4" w:rsidRPr="00CE2EB4">
              <w:rPr>
                <w:rStyle w:val="Hipervnculo"/>
                <w:rFonts w:ascii="Century Gothic" w:hAnsi="Century Gothic"/>
                <w:iCs/>
                <w:noProof/>
                <w:webHidden/>
                <w:color w:val="6E6E7C"/>
                <w:sz w:val="21"/>
                <w:szCs w:val="21"/>
              </w:rPr>
              <w:fldChar w:fldCharType="end"/>
            </w:r>
          </w:hyperlink>
        </w:p>
        <w:p w14:paraId="13801BE6"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39" w:history="1">
            <w:r w:rsidR="00CE2EB4" w:rsidRPr="00CE2EB4">
              <w:rPr>
                <w:rStyle w:val="Hipervnculo"/>
                <w:rFonts w:ascii="Century Gothic" w:hAnsi="Century Gothic"/>
                <w:iCs/>
                <w:noProof/>
                <w:color w:val="6E6E7C"/>
                <w:sz w:val="21"/>
                <w:szCs w:val="21"/>
              </w:rPr>
              <w:t>1.2.</w:t>
            </w:r>
            <w:r w:rsidR="00CE2EB4" w:rsidRPr="00CE2EB4">
              <w:rPr>
                <w:rStyle w:val="Hipervnculo"/>
                <w:rFonts w:ascii="Century Gothic" w:hAnsi="Century Gothic"/>
                <w:iCs/>
                <w:noProof/>
                <w:color w:val="6E6E7C"/>
                <w:sz w:val="21"/>
                <w:szCs w:val="21"/>
              </w:rPr>
              <w:tab/>
              <w:t>Marco normativo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_Toc161322539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24</w:t>
            </w:r>
            <w:r w:rsidR="00CE2EB4" w:rsidRPr="00CE2EB4">
              <w:rPr>
                <w:rStyle w:val="Hipervnculo"/>
                <w:rFonts w:ascii="Century Gothic" w:hAnsi="Century Gothic"/>
                <w:iCs/>
                <w:noProof/>
                <w:webHidden/>
                <w:color w:val="6E6E7C"/>
                <w:sz w:val="21"/>
                <w:szCs w:val="21"/>
              </w:rPr>
              <w:fldChar w:fldCharType="end"/>
            </w:r>
          </w:hyperlink>
        </w:p>
        <w:p w14:paraId="34BAF191" w14:textId="4AA21A4E" w:rsidR="00CE2EB4" w:rsidRPr="00CE2EB4" w:rsidRDefault="00746E03" w:rsidP="002022CC">
          <w:pPr>
            <w:pStyle w:val="TDC2"/>
            <w:rPr>
              <w:rStyle w:val="Hipervnculo"/>
              <w:rFonts w:ascii="Century Gothic" w:hAnsi="Century Gothic"/>
              <w:iCs/>
              <w:noProof/>
              <w:color w:val="6E6E7C"/>
              <w:sz w:val="21"/>
              <w:szCs w:val="21"/>
            </w:rPr>
          </w:pPr>
          <w:hyperlink w:anchor="_Toc161322540" w:history="1">
            <w:r w:rsidR="00CE2EB4" w:rsidRPr="00CE2EB4">
              <w:rPr>
                <w:rStyle w:val="Hipervnculo"/>
                <w:rFonts w:ascii="Century Gothic" w:hAnsi="Century Gothic"/>
                <w:iCs/>
                <w:noProof/>
                <w:color w:val="6E6E7C"/>
                <w:sz w:val="21"/>
                <w:szCs w:val="21"/>
              </w:rPr>
              <w:t>1.3.</w:t>
            </w:r>
            <w:r w:rsidR="00CE2EB4" w:rsidRPr="00CE2EB4">
              <w:rPr>
                <w:rStyle w:val="Hipervnculo"/>
                <w:rFonts w:ascii="Century Gothic" w:hAnsi="Century Gothic"/>
                <w:iCs/>
                <w:noProof/>
                <w:color w:val="6E6E7C"/>
                <w:sz w:val="21"/>
                <w:szCs w:val="21"/>
              </w:rPr>
              <w:tab/>
              <w:t xml:space="preserve">Verificación y contraste de la disponibilidad de la información en fuentes </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oficiales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25</w:t>
            </w:r>
            <w:r w:rsidR="00CE2EB4" w:rsidRPr="00CE2EB4">
              <w:rPr>
                <w:rStyle w:val="Hipervnculo"/>
                <w:rFonts w:ascii="Century Gothic" w:hAnsi="Century Gothic"/>
                <w:iCs/>
                <w:noProof/>
                <w:webHidden/>
                <w:color w:val="6E6E7C"/>
                <w:sz w:val="21"/>
                <w:szCs w:val="21"/>
              </w:rPr>
              <w:fldChar w:fldCharType="end"/>
            </w:r>
          </w:hyperlink>
        </w:p>
        <w:p w14:paraId="02D2053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41" w:history="1">
            <w:r w:rsidR="00CE2EB4" w:rsidRPr="00CE2EB4">
              <w:rPr>
                <w:rStyle w:val="Hipervnculo"/>
                <w:rFonts w:ascii="Century Gothic" w:hAnsi="Century Gothic"/>
                <w:iCs/>
                <w:noProof/>
                <w:color w:val="6E6E7C"/>
                <w:sz w:val="21"/>
                <w:szCs w:val="21"/>
              </w:rPr>
              <w:t>1.4.</w:t>
            </w:r>
            <w:r w:rsidR="00CE2EB4" w:rsidRPr="00CE2EB4">
              <w:rPr>
                <w:rStyle w:val="Hipervnculo"/>
                <w:rFonts w:ascii="Century Gothic" w:hAnsi="Century Gothic"/>
                <w:iCs/>
                <w:noProof/>
                <w:color w:val="6E6E7C"/>
                <w:sz w:val="21"/>
                <w:szCs w:val="21"/>
              </w:rPr>
              <w:tab/>
              <w:t>Objetivos de la operación estadística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26</w:t>
            </w:r>
            <w:r w:rsidR="00CE2EB4" w:rsidRPr="00CE2EB4">
              <w:rPr>
                <w:rStyle w:val="Hipervnculo"/>
                <w:rFonts w:ascii="Century Gothic" w:hAnsi="Century Gothic"/>
                <w:iCs/>
                <w:noProof/>
                <w:webHidden/>
                <w:color w:val="6E6E7C"/>
                <w:sz w:val="21"/>
                <w:szCs w:val="21"/>
              </w:rPr>
              <w:fldChar w:fldCharType="end"/>
            </w:r>
          </w:hyperlink>
        </w:p>
        <w:p w14:paraId="4E1E078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42" w:history="1">
            <w:r w:rsidR="00CE2EB4" w:rsidRPr="00CE2EB4">
              <w:rPr>
                <w:rStyle w:val="Hipervnculo"/>
                <w:rFonts w:ascii="Century Gothic" w:hAnsi="Century Gothic"/>
                <w:iCs/>
                <w:noProof/>
                <w:color w:val="6E6E7C"/>
                <w:sz w:val="21"/>
                <w:szCs w:val="21"/>
              </w:rPr>
              <w:t>1.5.</w:t>
            </w:r>
            <w:r w:rsidR="00CE2EB4" w:rsidRPr="00CE2EB4">
              <w:rPr>
                <w:rStyle w:val="Hipervnculo"/>
                <w:rFonts w:ascii="Century Gothic" w:hAnsi="Century Gothic"/>
                <w:iCs/>
                <w:noProof/>
                <w:color w:val="6E6E7C"/>
                <w:sz w:val="21"/>
                <w:szCs w:val="21"/>
              </w:rPr>
              <w:tab/>
              <w:t>Marco conceptual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26</w:t>
            </w:r>
            <w:r w:rsidR="00CE2EB4" w:rsidRPr="00CE2EB4">
              <w:rPr>
                <w:rStyle w:val="Hipervnculo"/>
                <w:rFonts w:ascii="Century Gothic" w:hAnsi="Century Gothic"/>
                <w:iCs/>
                <w:noProof/>
                <w:webHidden/>
                <w:color w:val="6E6E7C"/>
                <w:sz w:val="21"/>
                <w:szCs w:val="21"/>
              </w:rPr>
              <w:fldChar w:fldCharType="end"/>
            </w:r>
          </w:hyperlink>
        </w:p>
        <w:p w14:paraId="7112F6D8"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43" w:history="1">
            <w:r w:rsidR="00CE2EB4" w:rsidRPr="00CE2EB4">
              <w:rPr>
                <w:rStyle w:val="Hipervnculo"/>
                <w:rFonts w:ascii="Century Gothic" w:hAnsi="Century Gothic"/>
                <w:iCs/>
                <w:noProof/>
                <w:color w:val="6E6E7C"/>
                <w:sz w:val="21"/>
                <w:szCs w:val="21"/>
              </w:rPr>
              <w:t>1.5.1.</w:t>
            </w:r>
            <w:r w:rsidR="00CE2EB4" w:rsidRPr="00CE2EB4">
              <w:rPr>
                <w:rStyle w:val="Hipervnculo"/>
                <w:rFonts w:ascii="Century Gothic" w:hAnsi="Century Gothic"/>
                <w:iCs/>
                <w:noProof/>
                <w:color w:val="6E6E7C"/>
                <w:sz w:val="21"/>
                <w:szCs w:val="21"/>
              </w:rPr>
              <w:tab/>
              <w:t>Referentes y recomendaciones internacionales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32</w:t>
            </w:r>
            <w:r w:rsidR="00CE2EB4" w:rsidRPr="00CE2EB4">
              <w:rPr>
                <w:rStyle w:val="Hipervnculo"/>
                <w:rFonts w:ascii="Century Gothic" w:hAnsi="Century Gothic"/>
                <w:iCs/>
                <w:noProof/>
                <w:webHidden/>
                <w:color w:val="6E6E7C"/>
                <w:sz w:val="21"/>
                <w:szCs w:val="21"/>
              </w:rPr>
              <w:fldChar w:fldCharType="end"/>
            </w:r>
          </w:hyperlink>
        </w:p>
        <w:p w14:paraId="7F94AD88" w14:textId="6BEBA83D" w:rsidR="00CE2EB4" w:rsidRPr="00CE2EB4" w:rsidRDefault="00746E03" w:rsidP="002022CC">
          <w:pPr>
            <w:pStyle w:val="TDC3"/>
            <w:rPr>
              <w:rStyle w:val="Hipervnculo"/>
              <w:rFonts w:ascii="Century Gothic" w:hAnsi="Century Gothic"/>
              <w:iCs/>
              <w:noProof/>
              <w:color w:val="6E6E7C"/>
              <w:sz w:val="21"/>
              <w:szCs w:val="21"/>
            </w:rPr>
          </w:pPr>
          <w:hyperlink w:anchor="_Toc161322544" w:history="1">
            <w:r w:rsidR="00CE2EB4" w:rsidRPr="00CE2EB4">
              <w:rPr>
                <w:rStyle w:val="Hipervnculo"/>
                <w:rFonts w:ascii="Century Gothic" w:hAnsi="Century Gothic"/>
                <w:iCs/>
                <w:noProof/>
                <w:color w:val="6E6E7C"/>
                <w:sz w:val="21"/>
                <w:szCs w:val="21"/>
              </w:rPr>
              <w:t>1.5.2.</w:t>
            </w:r>
            <w:r w:rsidR="00CE2EB4" w:rsidRPr="00CE2EB4">
              <w:rPr>
                <w:rStyle w:val="Hipervnculo"/>
                <w:rFonts w:ascii="Century Gothic" w:hAnsi="Century Gothic"/>
                <w:iCs/>
                <w:noProof/>
                <w:color w:val="6E6E7C"/>
                <w:sz w:val="21"/>
                <w:szCs w:val="21"/>
              </w:rPr>
              <w:tab/>
              <w:t>Clasificaciones y nomenclaturas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32</w:t>
            </w:r>
            <w:r w:rsidR="00CE2EB4" w:rsidRPr="00CE2EB4">
              <w:rPr>
                <w:rStyle w:val="Hipervnculo"/>
                <w:rFonts w:ascii="Century Gothic" w:hAnsi="Century Gothic"/>
                <w:iCs/>
                <w:noProof/>
                <w:webHidden/>
                <w:color w:val="6E6E7C"/>
                <w:sz w:val="21"/>
                <w:szCs w:val="21"/>
              </w:rPr>
              <w:fldChar w:fldCharType="end"/>
            </w:r>
          </w:hyperlink>
        </w:p>
        <w:p w14:paraId="05D23E5C"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45" w:history="1">
            <w:r w:rsidR="00CE2EB4" w:rsidRPr="00CE2EB4">
              <w:rPr>
                <w:rStyle w:val="Hipervnculo"/>
                <w:rFonts w:ascii="Century Gothic" w:hAnsi="Century Gothic"/>
                <w:iCs/>
                <w:noProof/>
                <w:color w:val="6E6E7C"/>
                <w:sz w:val="21"/>
                <w:szCs w:val="21"/>
              </w:rPr>
              <w:t>1.6.</w:t>
            </w:r>
            <w:r w:rsidR="00CE2EB4" w:rsidRPr="00CE2EB4">
              <w:rPr>
                <w:rStyle w:val="Hipervnculo"/>
                <w:rFonts w:ascii="Century Gothic" w:hAnsi="Century Gothic"/>
                <w:iCs/>
                <w:noProof/>
                <w:color w:val="6E6E7C"/>
                <w:sz w:val="21"/>
                <w:szCs w:val="21"/>
              </w:rPr>
              <w:tab/>
              <w:t>Limitaciones del estudio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33</w:t>
            </w:r>
            <w:r w:rsidR="00CE2EB4" w:rsidRPr="00CE2EB4">
              <w:rPr>
                <w:rStyle w:val="Hipervnculo"/>
                <w:rFonts w:ascii="Century Gothic" w:hAnsi="Century Gothic"/>
                <w:iCs/>
                <w:noProof/>
                <w:webHidden/>
                <w:color w:val="6E6E7C"/>
                <w:sz w:val="21"/>
                <w:szCs w:val="21"/>
              </w:rPr>
              <w:fldChar w:fldCharType="end"/>
            </w:r>
          </w:hyperlink>
        </w:p>
        <w:p w14:paraId="6DAEFDF3" w14:textId="664111B5" w:rsidR="00CE2EB4" w:rsidRPr="00CE2EB4" w:rsidRDefault="00746E03" w:rsidP="002022CC">
          <w:pPr>
            <w:pStyle w:val="TDC3"/>
            <w:rPr>
              <w:rStyle w:val="Hipervnculo"/>
              <w:rFonts w:ascii="Century Gothic" w:hAnsi="Century Gothic"/>
              <w:iCs/>
              <w:noProof/>
              <w:color w:val="6E6E7C"/>
              <w:sz w:val="21"/>
              <w:szCs w:val="21"/>
            </w:rPr>
          </w:pPr>
          <w:hyperlink w:anchor="_Toc161322546" w:history="1">
            <w:r w:rsidR="00CE2EB4" w:rsidRPr="00CE2EB4">
              <w:rPr>
                <w:rStyle w:val="Hipervnculo"/>
                <w:rFonts w:ascii="Century Gothic" w:hAnsi="Century Gothic"/>
                <w:iCs/>
                <w:noProof/>
                <w:color w:val="6E6E7C"/>
                <w:sz w:val="21"/>
                <w:szCs w:val="21"/>
              </w:rPr>
              <w:t>2.</w:t>
            </w:r>
            <w:r w:rsidR="00CE2EB4" w:rsidRPr="00CE2EB4">
              <w:rPr>
                <w:rStyle w:val="Hipervnculo"/>
                <w:rFonts w:ascii="Century Gothic" w:hAnsi="Century Gothic"/>
                <w:iCs/>
                <w:noProof/>
                <w:color w:val="6E6E7C"/>
                <w:sz w:val="21"/>
                <w:szCs w:val="21"/>
              </w:rPr>
              <w:tab/>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Metodología del marco muestral y el diseño de la muestra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35</w:t>
            </w:r>
            <w:r w:rsidR="00CE2EB4" w:rsidRPr="00CE2EB4">
              <w:rPr>
                <w:rStyle w:val="Hipervnculo"/>
                <w:rFonts w:ascii="Century Gothic" w:hAnsi="Century Gothic"/>
                <w:iCs/>
                <w:noProof/>
                <w:webHidden/>
                <w:color w:val="6E6E7C"/>
                <w:sz w:val="21"/>
                <w:szCs w:val="21"/>
              </w:rPr>
              <w:fldChar w:fldCharType="end"/>
            </w:r>
          </w:hyperlink>
        </w:p>
        <w:p w14:paraId="6D514BC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48" w:history="1">
            <w:r w:rsidR="00CE2EB4" w:rsidRPr="00CE2EB4">
              <w:rPr>
                <w:rStyle w:val="Hipervnculo"/>
                <w:rFonts w:ascii="Century Gothic" w:hAnsi="Century Gothic"/>
                <w:iCs/>
                <w:noProof/>
                <w:color w:val="6E6E7C"/>
                <w:sz w:val="21"/>
                <w:szCs w:val="21"/>
              </w:rPr>
              <w:t>2.1.</w:t>
            </w:r>
            <w:r w:rsidR="00CE2EB4" w:rsidRPr="00CE2EB4">
              <w:rPr>
                <w:rStyle w:val="Hipervnculo"/>
                <w:rFonts w:ascii="Century Gothic" w:hAnsi="Century Gothic"/>
                <w:iCs/>
                <w:noProof/>
                <w:color w:val="6E6E7C"/>
                <w:sz w:val="21"/>
                <w:szCs w:val="21"/>
              </w:rPr>
              <w:tab/>
              <w:t>Tipos y etapas del diseño muestral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35</w:t>
            </w:r>
            <w:r w:rsidR="00CE2EB4" w:rsidRPr="00CE2EB4">
              <w:rPr>
                <w:rStyle w:val="Hipervnculo"/>
                <w:rFonts w:ascii="Century Gothic" w:hAnsi="Century Gothic"/>
                <w:iCs/>
                <w:noProof/>
                <w:webHidden/>
                <w:color w:val="6E6E7C"/>
                <w:sz w:val="21"/>
                <w:szCs w:val="21"/>
              </w:rPr>
              <w:fldChar w:fldCharType="end"/>
            </w:r>
          </w:hyperlink>
        </w:p>
        <w:p w14:paraId="62D454AD"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49" w:history="1">
            <w:r w:rsidR="00CE2EB4" w:rsidRPr="00CE2EB4">
              <w:rPr>
                <w:rStyle w:val="Hipervnculo"/>
                <w:rFonts w:ascii="Century Gothic" w:hAnsi="Century Gothic"/>
                <w:iCs/>
                <w:noProof/>
                <w:color w:val="6E6E7C"/>
                <w:sz w:val="21"/>
                <w:szCs w:val="21"/>
              </w:rPr>
              <w:t>2.2.</w:t>
            </w:r>
            <w:r w:rsidR="00CE2EB4" w:rsidRPr="00CE2EB4">
              <w:rPr>
                <w:rStyle w:val="Hipervnculo"/>
                <w:rFonts w:ascii="Century Gothic" w:hAnsi="Century Gothic"/>
                <w:iCs/>
                <w:noProof/>
                <w:color w:val="6E6E7C"/>
                <w:sz w:val="21"/>
                <w:szCs w:val="21"/>
              </w:rPr>
              <w:tab/>
              <w:t>Dominios de estudio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_Toc161322549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35</w:t>
            </w:r>
            <w:r w:rsidR="00CE2EB4" w:rsidRPr="00CE2EB4">
              <w:rPr>
                <w:rStyle w:val="Hipervnculo"/>
                <w:rFonts w:ascii="Century Gothic" w:hAnsi="Century Gothic"/>
                <w:iCs/>
                <w:noProof/>
                <w:webHidden/>
                <w:color w:val="6E6E7C"/>
                <w:sz w:val="21"/>
                <w:szCs w:val="21"/>
              </w:rPr>
              <w:fldChar w:fldCharType="end"/>
            </w:r>
          </w:hyperlink>
        </w:p>
        <w:p w14:paraId="06C14CCA"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50" w:history="1">
            <w:r w:rsidR="00CE2EB4" w:rsidRPr="00CE2EB4">
              <w:rPr>
                <w:rStyle w:val="Hipervnculo"/>
                <w:rFonts w:ascii="Century Gothic" w:hAnsi="Century Gothic"/>
                <w:iCs/>
                <w:noProof/>
                <w:color w:val="6E6E7C"/>
                <w:sz w:val="21"/>
                <w:szCs w:val="21"/>
              </w:rPr>
              <w:t>2.3.</w:t>
            </w:r>
            <w:r w:rsidR="00CE2EB4" w:rsidRPr="00CE2EB4">
              <w:rPr>
                <w:rStyle w:val="Hipervnculo"/>
                <w:rFonts w:ascii="Century Gothic" w:hAnsi="Century Gothic"/>
                <w:iCs/>
                <w:noProof/>
                <w:color w:val="6E6E7C"/>
                <w:sz w:val="21"/>
                <w:szCs w:val="21"/>
              </w:rPr>
              <w:tab/>
              <w:t>Marco muestral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35</w:t>
            </w:r>
            <w:r w:rsidR="00CE2EB4" w:rsidRPr="00CE2EB4">
              <w:rPr>
                <w:rStyle w:val="Hipervnculo"/>
                <w:rFonts w:ascii="Century Gothic" w:hAnsi="Century Gothic"/>
                <w:iCs/>
                <w:noProof/>
                <w:webHidden/>
                <w:color w:val="6E6E7C"/>
                <w:sz w:val="21"/>
                <w:szCs w:val="21"/>
              </w:rPr>
              <w:fldChar w:fldCharType="end"/>
            </w:r>
          </w:hyperlink>
        </w:p>
        <w:p w14:paraId="40AB8FFD"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51" w:history="1">
            <w:r w:rsidR="00CE2EB4" w:rsidRPr="00CE2EB4">
              <w:rPr>
                <w:rStyle w:val="Hipervnculo"/>
                <w:rFonts w:ascii="Century Gothic" w:hAnsi="Century Gothic"/>
                <w:iCs/>
                <w:noProof/>
                <w:color w:val="6E6E7C"/>
                <w:sz w:val="21"/>
                <w:szCs w:val="21"/>
              </w:rPr>
              <w:t>2.4.</w:t>
            </w:r>
            <w:r w:rsidR="00CE2EB4" w:rsidRPr="00CE2EB4">
              <w:rPr>
                <w:rStyle w:val="Hipervnculo"/>
                <w:rFonts w:ascii="Century Gothic" w:hAnsi="Century Gothic"/>
                <w:iCs/>
                <w:noProof/>
                <w:color w:val="6E6E7C"/>
                <w:sz w:val="21"/>
                <w:szCs w:val="21"/>
              </w:rPr>
              <w:tab/>
              <w:t>Variables de diseño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35</w:t>
            </w:r>
            <w:r w:rsidR="00CE2EB4" w:rsidRPr="00CE2EB4">
              <w:rPr>
                <w:rStyle w:val="Hipervnculo"/>
                <w:rFonts w:ascii="Century Gothic" w:hAnsi="Century Gothic"/>
                <w:iCs/>
                <w:noProof/>
                <w:webHidden/>
                <w:color w:val="6E6E7C"/>
                <w:sz w:val="21"/>
                <w:szCs w:val="21"/>
              </w:rPr>
              <w:fldChar w:fldCharType="end"/>
            </w:r>
          </w:hyperlink>
        </w:p>
        <w:p w14:paraId="10BFB601"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52" w:history="1">
            <w:r w:rsidR="00CE2EB4" w:rsidRPr="00CE2EB4">
              <w:rPr>
                <w:rStyle w:val="Hipervnculo"/>
                <w:rFonts w:ascii="Century Gothic" w:hAnsi="Century Gothic"/>
                <w:iCs/>
                <w:noProof/>
                <w:color w:val="6E6E7C"/>
                <w:sz w:val="21"/>
                <w:szCs w:val="21"/>
              </w:rPr>
              <w:t>2.5.</w:t>
            </w:r>
            <w:r w:rsidR="00CE2EB4" w:rsidRPr="00CE2EB4">
              <w:rPr>
                <w:rStyle w:val="Hipervnculo"/>
                <w:rFonts w:ascii="Century Gothic" w:hAnsi="Century Gothic"/>
                <w:iCs/>
                <w:noProof/>
                <w:color w:val="6E6E7C"/>
                <w:sz w:val="21"/>
                <w:szCs w:val="21"/>
              </w:rPr>
              <w:tab/>
              <w:t>Tamaño muestral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35</w:t>
            </w:r>
            <w:r w:rsidR="00CE2EB4" w:rsidRPr="00CE2EB4">
              <w:rPr>
                <w:rStyle w:val="Hipervnculo"/>
                <w:rFonts w:ascii="Century Gothic" w:hAnsi="Century Gothic"/>
                <w:iCs/>
                <w:noProof/>
                <w:webHidden/>
                <w:color w:val="6E6E7C"/>
                <w:sz w:val="21"/>
                <w:szCs w:val="21"/>
              </w:rPr>
              <w:fldChar w:fldCharType="end"/>
            </w:r>
          </w:hyperlink>
        </w:p>
        <w:p w14:paraId="25B5F6B8"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53" w:history="1">
            <w:r w:rsidR="00CE2EB4" w:rsidRPr="00CE2EB4">
              <w:rPr>
                <w:rStyle w:val="Hipervnculo"/>
                <w:rFonts w:ascii="Century Gothic" w:hAnsi="Century Gothic"/>
                <w:iCs/>
                <w:noProof/>
                <w:color w:val="6E6E7C"/>
                <w:sz w:val="21"/>
                <w:szCs w:val="21"/>
              </w:rPr>
              <w:t>2.6.</w:t>
            </w:r>
            <w:r w:rsidR="00CE2EB4" w:rsidRPr="00CE2EB4">
              <w:rPr>
                <w:rStyle w:val="Hipervnculo"/>
                <w:rFonts w:ascii="Century Gothic" w:hAnsi="Century Gothic"/>
                <w:iCs/>
                <w:noProof/>
                <w:color w:val="6E6E7C"/>
                <w:sz w:val="21"/>
                <w:szCs w:val="21"/>
              </w:rPr>
              <w:tab/>
              <w:t>Selección de la muestra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36</w:t>
            </w:r>
            <w:r w:rsidR="00CE2EB4" w:rsidRPr="00CE2EB4">
              <w:rPr>
                <w:rStyle w:val="Hipervnculo"/>
                <w:rFonts w:ascii="Century Gothic" w:hAnsi="Century Gothic"/>
                <w:iCs/>
                <w:noProof/>
                <w:webHidden/>
                <w:color w:val="6E6E7C"/>
                <w:sz w:val="21"/>
                <w:szCs w:val="21"/>
              </w:rPr>
              <w:fldChar w:fldCharType="end"/>
            </w:r>
          </w:hyperlink>
        </w:p>
        <w:p w14:paraId="50C6A6B7"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54" w:history="1">
            <w:r w:rsidR="00CE2EB4" w:rsidRPr="00CE2EB4">
              <w:rPr>
                <w:rStyle w:val="Hipervnculo"/>
                <w:rFonts w:ascii="Century Gothic" w:hAnsi="Century Gothic"/>
                <w:iCs/>
                <w:noProof/>
                <w:color w:val="6E6E7C"/>
                <w:sz w:val="21"/>
                <w:szCs w:val="21"/>
              </w:rPr>
              <w:t>2.7.</w:t>
            </w:r>
            <w:r w:rsidR="00CE2EB4" w:rsidRPr="00CE2EB4">
              <w:rPr>
                <w:rStyle w:val="Hipervnculo"/>
                <w:rFonts w:ascii="Century Gothic" w:hAnsi="Century Gothic"/>
                <w:iCs/>
                <w:noProof/>
                <w:color w:val="6E6E7C"/>
                <w:sz w:val="21"/>
                <w:szCs w:val="21"/>
              </w:rPr>
              <w:tab/>
              <w:t>Control de cobertura de campo y muestral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36</w:t>
            </w:r>
            <w:r w:rsidR="00CE2EB4" w:rsidRPr="00CE2EB4">
              <w:rPr>
                <w:rStyle w:val="Hipervnculo"/>
                <w:rFonts w:ascii="Century Gothic" w:hAnsi="Century Gothic"/>
                <w:iCs/>
                <w:noProof/>
                <w:webHidden/>
                <w:color w:val="6E6E7C"/>
                <w:sz w:val="21"/>
                <w:szCs w:val="21"/>
              </w:rPr>
              <w:fldChar w:fldCharType="end"/>
            </w:r>
          </w:hyperlink>
        </w:p>
        <w:p w14:paraId="6FF6AB5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55" w:history="1">
            <w:r w:rsidR="00CE2EB4" w:rsidRPr="00CE2EB4">
              <w:rPr>
                <w:rStyle w:val="Hipervnculo"/>
                <w:rFonts w:ascii="Century Gothic" w:hAnsi="Century Gothic"/>
                <w:iCs/>
                <w:noProof/>
                <w:color w:val="6E6E7C"/>
                <w:sz w:val="21"/>
                <w:szCs w:val="21"/>
              </w:rPr>
              <w:t>2.8.</w:t>
            </w:r>
            <w:r w:rsidR="00CE2EB4" w:rsidRPr="00CE2EB4">
              <w:rPr>
                <w:rStyle w:val="Hipervnculo"/>
                <w:rFonts w:ascii="Century Gothic" w:hAnsi="Century Gothic"/>
                <w:iCs/>
                <w:noProof/>
                <w:color w:val="6E6E7C"/>
                <w:sz w:val="21"/>
                <w:szCs w:val="21"/>
              </w:rPr>
              <w:tab/>
              <w:t>Postestratificación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36</w:t>
            </w:r>
            <w:r w:rsidR="00CE2EB4" w:rsidRPr="00CE2EB4">
              <w:rPr>
                <w:rStyle w:val="Hipervnculo"/>
                <w:rFonts w:ascii="Century Gothic" w:hAnsi="Century Gothic"/>
                <w:iCs/>
                <w:noProof/>
                <w:webHidden/>
                <w:color w:val="6E6E7C"/>
                <w:sz w:val="21"/>
                <w:szCs w:val="21"/>
              </w:rPr>
              <w:fldChar w:fldCharType="end"/>
            </w:r>
          </w:hyperlink>
        </w:p>
        <w:p w14:paraId="651757C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56" w:history="1">
            <w:r w:rsidR="00CE2EB4" w:rsidRPr="00CE2EB4">
              <w:rPr>
                <w:rStyle w:val="Hipervnculo"/>
                <w:rFonts w:ascii="Century Gothic" w:hAnsi="Century Gothic"/>
                <w:iCs/>
                <w:noProof/>
                <w:color w:val="6E6E7C"/>
                <w:sz w:val="21"/>
                <w:szCs w:val="21"/>
              </w:rPr>
              <w:t>2.9.</w:t>
            </w:r>
            <w:r w:rsidR="00CE2EB4" w:rsidRPr="00CE2EB4">
              <w:rPr>
                <w:rStyle w:val="Hipervnculo"/>
                <w:rFonts w:ascii="Century Gothic" w:hAnsi="Century Gothic"/>
                <w:iCs/>
                <w:noProof/>
                <w:color w:val="6E6E7C"/>
                <w:sz w:val="21"/>
                <w:szCs w:val="21"/>
              </w:rPr>
              <w:tab/>
              <w:t>Factores de expansión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37</w:t>
            </w:r>
            <w:r w:rsidR="00CE2EB4" w:rsidRPr="00CE2EB4">
              <w:rPr>
                <w:rStyle w:val="Hipervnculo"/>
                <w:rFonts w:ascii="Century Gothic" w:hAnsi="Century Gothic"/>
                <w:iCs/>
                <w:noProof/>
                <w:webHidden/>
                <w:color w:val="6E6E7C"/>
                <w:sz w:val="21"/>
                <w:szCs w:val="21"/>
              </w:rPr>
              <w:fldChar w:fldCharType="end"/>
            </w:r>
          </w:hyperlink>
        </w:p>
        <w:p w14:paraId="4B8E87C4" w14:textId="5AEEE14F" w:rsidR="00CE2EB4" w:rsidRPr="00CE2EB4" w:rsidRDefault="00746E03" w:rsidP="002022CC">
          <w:pPr>
            <w:pStyle w:val="TDC2"/>
            <w:rPr>
              <w:rStyle w:val="Hipervnculo"/>
              <w:rFonts w:ascii="Century Gothic" w:hAnsi="Century Gothic"/>
              <w:iCs/>
              <w:noProof/>
              <w:color w:val="6E6E7C"/>
              <w:sz w:val="21"/>
              <w:szCs w:val="21"/>
            </w:rPr>
          </w:pPr>
          <w:hyperlink w:anchor="_Toc161322557" w:history="1">
            <w:r w:rsidR="00CE2EB4" w:rsidRPr="00CE2EB4">
              <w:rPr>
                <w:rStyle w:val="Hipervnculo"/>
                <w:rFonts w:ascii="Century Gothic" w:hAnsi="Century Gothic"/>
                <w:iCs/>
                <w:noProof/>
                <w:color w:val="6E6E7C"/>
                <w:sz w:val="21"/>
                <w:szCs w:val="21"/>
              </w:rPr>
              <w:t>2.10.</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Evaluación de diseño muestral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_Toc161322557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37</w:t>
            </w:r>
            <w:r w:rsidR="00CE2EB4" w:rsidRPr="00CE2EB4">
              <w:rPr>
                <w:rStyle w:val="Hipervnculo"/>
                <w:rFonts w:ascii="Century Gothic" w:hAnsi="Century Gothic"/>
                <w:iCs/>
                <w:noProof/>
                <w:webHidden/>
                <w:color w:val="6E6E7C"/>
                <w:sz w:val="21"/>
                <w:szCs w:val="21"/>
              </w:rPr>
              <w:fldChar w:fldCharType="end"/>
            </w:r>
          </w:hyperlink>
        </w:p>
        <w:p w14:paraId="35FB3F53"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58" w:history="1">
            <w:r w:rsidR="00CE2EB4" w:rsidRPr="00CE2EB4">
              <w:rPr>
                <w:rStyle w:val="Hipervnculo"/>
                <w:rFonts w:ascii="Century Gothic" w:hAnsi="Century Gothic"/>
                <w:iCs/>
                <w:noProof/>
                <w:color w:val="6E6E7C"/>
                <w:sz w:val="21"/>
                <w:szCs w:val="21"/>
              </w:rPr>
              <w:t>3.</w:t>
            </w:r>
            <w:r w:rsidR="00CE2EB4" w:rsidRPr="00CE2EB4">
              <w:rPr>
                <w:rStyle w:val="Hipervnculo"/>
                <w:rFonts w:ascii="Century Gothic" w:hAnsi="Century Gothic"/>
                <w:iCs/>
                <w:noProof/>
                <w:color w:val="6E6E7C"/>
                <w:sz w:val="21"/>
                <w:szCs w:val="21"/>
              </w:rPr>
              <w:tab/>
              <w:t>Metodología de la recolección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_Toc161322558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38</w:t>
            </w:r>
            <w:r w:rsidR="00CE2EB4" w:rsidRPr="00CE2EB4">
              <w:rPr>
                <w:rStyle w:val="Hipervnculo"/>
                <w:rFonts w:ascii="Century Gothic" w:hAnsi="Century Gothic"/>
                <w:iCs/>
                <w:noProof/>
                <w:webHidden/>
                <w:color w:val="6E6E7C"/>
                <w:sz w:val="21"/>
                <w:szCs w:val="21"/>
              </w:rPr>
              <w:fldChar w:fldCharType="end"/>
            </w:r>
          </w:hyperlink>
        </w:p>
        <w:p w14:paraId="02B913D2" w14:textId="41E46AC4" w:rsidR="00CE2EB4" w:rsidRPr="00CE2EB4" w:rsidRDefault="00746E03" w:rsidP="002022CC">
          <w:pPr>
            <w:pStyle w:val="TDC2"/>
            <w:rPr>
              <w:rStyle w:val="Hipervnculo"/>
              <w:rFonts w:ascii="Century Gothic" w:hAnsi="Century Gothic"/>
              <w:iCs/>
              <w:noProof/>
              <w:color w:val="6E6E7C"/>
              <w:sz w:val="21"/>
              <w:szCs w:val="21"/>
            </w:rPr>
          </w:pPr>
          <w:hyperlink w:anchor="_Toc161322560" w:history="1">
            <w:r w:rsidR="00CE2EB4" w:rsidRPr="00CE2EB4">
              <w:rPr>
                <w:rStyle w:val="Hipervnculo"/>
                <w:rFonts w:ascii="Century Gothic" w:hAnsi="Century Gothic"/>
                <w:iCs/>
                <w:noProof/>
                <w:color w:val="6E6E7C"/>
                <w:sz w:val="21"/>
                <w:szCs w:val="21"/>
              </w:rPr>
              <w:t>3.1.</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Cartografía estadística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38</w:t>
            </w:r>
            <w:r w:rsidR="00CE2EB4" w:rsidRPr="00CE2EB4">
              <w:rPr>
                <w:rStyle w:val="Hipervnculo"/>
                <w:rFonts w:ascii="Century Gothic" w:hAnsi="Century Gothic"/>
                <w:iCs/>
                <w:noProof/>
                <w:webHidden/>
                <w:color w:val="6E6E7C"/>
                <w:sz w:val="21"/>
                <w:szCs w:val="21"/>
              </w:rPr>
              <w:fldChar w:fldCharType="end"/>
            </w:r>
          </w:hyperlink>
        </w:p>
        <w:p w14:paraId="113A0967" w14:textId="30FEB77B" w:rsidR="00CE2EB4" w:rsidRPr="00CE2EB4" w:rsidRDefault="00746E03" w:rsidP="002022CC">
          <w:pPr>
            <w:pStyle w:val="TDC2"/>
            <w:rPr>
              <w:rStyle w:val="Hipervnculo"/>
              <w:rFonts w:ascii="Century Gothic" w:hAnsi="Century Gothic"/>
              <w:iCs/>
              <w:noProof/>
              <w:color w:val="6E6E7C"/>
              <w:sz w:val="21"/>
              <w:szCs w:val="21"/>
            </w:rPr>
          </w:pPr>
          <w:hyperlink w:anchor="_Toc161322561" w:history="1">
            <w:r w:rsidR="00CE2EB4" w:rsidRPr="00CE2EB4">
              <w:rPr>
                <w:rStyle w:val="Hipervnculo"/>
                <w:rFonts w:ascii="Century Gothic" w:hAnsi="Century Gothic"/>
                <w:iCs/>
                <w:noProof/>
                <w:color w:val="6E6E7C"/>
                <w:sz w:val="21"/>
                <w:szCs w:val="21"/>
              </w:rPr>
              <w:t>3.2.</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Instrumentos, materiales y sistemas de recolección/ recopilación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38</w:t>
            </w:r>
            <w:r w:rsidR="00CE2EB4" w:rsidRPr="00CE2EB4">
              <w:rPr>
                <w:rStyle w:val="Hipervnculo"/>
                <w:rFonts w:ascii="Century Gothic" w:hAnsi="Century Gothic"/>
                <w:iCs/>
                <w:noProof/>
                <w:webHidden/>
                <w:color w:val="6E6E7C"/>
                <w:sz w:val="21"/>
                <w:szCs w:val="21"/>
              </w:rPr>
              <w:fldChar w:fldCharType="end"/>
            </w:r>
          </w:hyperlink>
        </w:p>
        <w:p w14:paraId="7A876B0A" w14:textId="2801C075" w:rsidR="00CE2EB4" w:rsidRPr="00CE2EB4" w:rsidRDefault="00746E03" w:rsidP="002022CC">
          <w:pPr>
            <w:pStyle w:val="TDC2"/>
            <w:rPr>
              <w:rStyle w:val="Hipervnculo"/>
              <w:rFonts w:ascii="Century Gothic" w:hAnsi="Century Gothic"/>
              <w:iCs/>
              <w:noProof/>
              <w:color w:val="6E6E7C"/>
              <w:sz w:val="21"/>
              <w:szCs w:val="21"/>
            </w:rPr>
          </w:pPr>
          <w:hyperlink w:anchor="_Toc161322562" w:history="1">
            <w:r w:rsidR="00CE2EB4" w:rsidRPr="00CE2EB4">
              <w:rPr>
                <w:rStyle w:val="Hipervnculo"/>
                <w:rFonts w:ascii="Century Gothic" w:hAnsi="Century Gothic"/>
                <w:iCs/>
                <w:noProof/>
                <w:color w:val="6E6E7C"/>
                <w:sz w:val="21"/>
                <w:szCs w:val="21"/>
              </w:rPr>
              <w:t>3.3.</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 xml:space="preserve">Estrategia de recolección/ recopilación de información </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43</w:t>
            </w:r>
            <w:r w:rsidR="00CE2EB4" w:rsidRPr="00CE2EB4">
              <w:rPr>
                <w:rStyle w:val="Hipervnculo"/>
                <w:rFonts w:ascii="Century Gothic" w:hAnsi="Century Gothic"/>
                <w:iCs/>
                <w:noProof/>
                <w:webHidden/>
                <w:color w:val="6E6E7C"/>
                <w:sz w:val="21"/>
                <w:szCs w:val="21"/>
              </w:rPr>
              <w:fldChar w:fldCharType="end"/>
            </w:r>
          </w:hyperlink>
        </w:p>
        <w:p w14:paraId="38225F6F" w14:textId="557BD8D9" w:rsidR="00CE2EB4" w:rsidRPr="00CE2EB4" w:rsidRDefault="00746E03" w:rsidP="002022CC">
          <w:pPr>
            <w:pStyle w:val="TDC3"/>
            <w:rPr>
              <w:rStyle w:val="Hipervnculo"/>
              <w:rFonts w:ascii="Century Gothic" w:hAnsi="Century Gothic"/>
              <w:iCs/>
              <w:noProof/>
              <w:color w:val="6E6E7C"/>
              <w:sz w:val="21"/>
              <w:szCs w:val="21"/>
            </w:rPr>
          </w:pPr>
          <w:hyperlink w:anchor="_Toc161322563" w:history="1">
            <w:r w:rsidR="00CE2EB4" w:rsidRPr="00CE2EB4">
              <w:rPr>
                <w:rStyle w:val="Hipervnculo"/>
                <w:rFonts w:ascii="Century Gothic" w:hAnsi="Century Gothic"/>
                <w:iCs/>
                <w:noProof/>
                <w:color w:val="6E6E7C"/>
                <w:sz w:val="21"/>
                <w:szCs w:val="21"/>
              </w:rPr>
              <w:t>3.3.1</w:t>
            </w:r>
            <w:r w:rsidR="00CE2EB4" w:rsidRPr="00CE2EB4">
              <w:rPr>
                <w:rStyle w:val="Hipervnculo"/>
                <w:rFonts w:ascii="Century Gothic" w:hAnsi="Century Gothic"/>
                <w:iCs/>
                <w:noProof/>
                <w:color w:val="6E6E7C"/>
                <w:sz w:val="21"/>
                <w:szCs w:val="21"/>
              </w:rPr>
              <w:tab/>
              <w:t>Conformación de equipos de trabajo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43</w:t>
            </w:r>
            <w:r w:rsidR="00CE2EB4" w:rsidRPr="00CE2EB4">
              <w:rPr>
                <w:rStyle w:val="Hipervnculo"/>
                <w:rFonts w:ascii="Century Gothic" w:hAnsi="Century Gothic"/>
                <w:iCs/>
                <w:noProof/>
                <w:webHidden/>
                <w:color w:val="6E6E7C"/>
                <w:sz w:val="21"/>
                <w:szCs w:val="21"/>
              </w:rPr>
              <w:fldChar w:fldCharType="end"/>
            </w:r>
          </w:hyperlink>
        </w:p>
        <w:p w14:paraId="19B40875" w14:textId="0B3AD2B4" w:rsidR="00CE2EB4" w:rsidRPr="00CE2EB4" w:rsidRDefault="00746E03" w:rsidP="002022CC">
          <w:pPr>
            <w:pStyle w:val="TDC3"/>
            <w:rPr>
              <w:rStyle w:val="Hipervnculo"/>
              <w:rFonts w:ascii="Century Gothic" w:hAnsi="Century Gothic"/>
              <w:iCs/>
              <w:noProof/>
              <w:color w:val="6E6E7C"/>
              <w:sz w:val="21"/>
              <w:szCs w:val="21"/>
            </w:rPr>
          </w:pPr>
          <w:hyperlink w:anchor="_Toc161322564" w:history="1">
            <w:r w:rsidR="00CE2EB4" w:rsidRPr="00CE2EB4">
              <w:rPr>
                <w:rStyle w:val="Hipervnculo"/>
                <w:rFonts w:ascii="Century Gothic" w:hAnsi="Century Gothic"/>
                <w:iCs/>
                <w:noProof/>
                <w:color w:val="6E6E7C"/>
                <w:sz w:val="21"/>
                <w:szCs w:val="21"/>
              </w:rPr>
              <w:t>3.3.2</w:t>
            </w:r>
            <w:r w:rsidR="00CE2EB4" w:rsidRPr="00CE2EB4">
              <w:rPr>
                <w:rStyle w:val="Hipervnculo"/>
                <w:rFonts w:ascii="Century Gothic" w:hAnsi="Century Gothic"/>
                <w:iCs/>
                <w:noProof/>
                <w:color w:val="6E6E7C"/>
                <w:sz w:val="21"/>
                <w:szCs w:val="21"/>
              </w:rPr>
              <w:tab/>
              <w:t>Plan de socialización y sensibilización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45</w:t>
            </w:r>
            <w:r w:rsidR="00CE2EB4" w:rsidRPr="00CE2EB4">
              <w:rPr>
                <w:rStyle w:val="Hipervnculo"/>
                <w:rFonts w:ascii="Century Gothic" w:hAnsi="Century Gothic"/>
                <w:iCs/>
                <w:noProof/>
                <w:webHidden/>
                <w:color w:val="6E6E7C"/>
                <w:sz w:val="21"/>
                <w:szCs w:val="21"/>
              </w:rPr>
              <w:fldChar w:fldCharType="end"/>
            </w:r>
          </w:hyperlink>
        </w:p>
        <w:p w14:paraId="2AB52FE5" w14:textId="6AB1FD02" w:rsidR="00CE2EB4" w:rsidRPr="00CE2EB4" w:rsidRDefault="00746E03" w:rsidP="002022CC">
          <w:pPr>
            <w:pStyle w:val="TDC3"/>
            <w:rPr>
              <w:rStyle w:val="Hipervnculo"/>
              <w:rFonts w:ascii="Century Gothic" w:hAnsi="Century Gothic"/>
              <w:iCs/>
              <w:noProof/>
              <w:color w:val="6E6E7C"/>
              <w:sz w:val="21"/>
              <w:szCs w:val="21"/>
            </w:rPr>
          </w:pPr>
          <w:hyperlink w:anchor="_Toc161322565" w:history="1">
            <w:r w:rsidR="00CE2EB4" w:rsidRPr="00CE2EB4">
              <w:rPr>
                <w:rStyle w:val="Hipervnculo"/>
                <w:rFonts w:ascii="Century Gothic" w:hAnsi="Century Gothic"/>
                <w:iCs/>
                <w:noProof/>
                <w:color w:val="6E6E7C"/>
                <w:sz w:val="21"/>
                <w:szCs w:val="21"/>
              </w:rPr>
              <w:t>3.3.3</w:t>
            </w:r>
            <w:r w:rsidR="00CE2EB4" w:rsidRPr="00CE2EB4">
              <w:rPr>
                <w:rStyle w:val="Hipervnculo"/>
                <w:rFonts w:ascii="Century Gothic" w:hAnsi="Century Gothic"/>
                <w:iCs/>
                <w:noProof/>
                <w:color w:val="6E6E7C"/>
                <w:sz w:val="21"/>
                <w:szCs w:val="21"/>
              </w:rPr>
              <w:tab/>
              <w:t>Instrumentos de control y monitoreo para supervisión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45</w:t>
            </w:r>
            <w:r w:rsidR="00CE2EB4" w:rsidRPr="00CE2EB4">
              <w:rPr>
                <w:rStyle w:val="Hipervnculo"/>
                <w:rFonts w:ascii="Century Gothic" w:hAnsi="Century Gothic"/>
                <w:iCs/>
                <w:noProof/>
                <w:webHidden/>
                <w:color w:val="6E6E7C"/>
                <w:sz w:val="21"/>
                <w:szCs w:val="21"/>
              </w:rPr>
              <w:fldChar w:fldCharType="end"/>
            </w:r>
          </w:hyperlink>
        </w:p>
        <w:p w14:paraId="03FB314C" w14:textId="494429B7" w:rsidR="00CE2EB4" w:rsidRPr="00CE2EB4" w:rsidRDefault="00746E03" w:rsidP="002022CC">
          <w:pPr>
            <w:pStyle w:val="TDC3"/>
            <w:rPr>
              <w:rStyle w:val="Hipervnculo"/>
              <w:rFonts w:ascii="Century Gothic" w:hAnsi="Century Gothic"/>
              <w:iCs/>
              <w:noProof/>
              <w:color w:val="6E6E7C"/>
              <w:sz w:val="21"/>
              <w:szCs w:val="21"/>
            </w:rPr>
          </w:pPr>
          <w:hyperlink w:anchor="_Toc161322566" w:history="1">
            <w:r w:rsidR="00CE2EB4" w:rsidRPr="00CE2EB4">
              <w:rPr>
                <w:rStyle w:val="Hipervnculo"/>
                <w:rFonts w:ascii="Century Gothic" w:hAnsi="Century Gothic"/>
                <w:iCs/>
                <w:noProof/>
                <w:color w:val="6E6E7C"/>
                <w:sz w:val="21"/>
                <w:szCs w:val="21"/>
              </w:rPr>
              <w:t>4.</w:t>
            </w:r>
            <w:r w:rsidR="00CE2EB4" w:rsidRPr="00CE2EB4">
              <w:rPr>
                <w:rStyle w:val="Hipervnculo"/>
                <w:rFonts w:ascii="Century Gothic" w:hAnsi="Century Gothic"/>
                <w:iCs/>
                <w:noProof/>
                <w:color w:val="6E6E7C"/>
                <w:sz w:val="21"/>
                <w:szCs w:val="21"/>
              </w:rPr>
              <w:tab/>
              <w:t>Metodología de procesamiento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49</w:t>
            </w:r>
            <w:r w:rsidR="00CE2EB4" w:rsidRPr="00CE2EB4">
              <w:rPr>
                <w:rStyle w:val="Hipervnculo"/>
                <w:rFonts w:ascii="Century Gothic" w:hAnsi="Century Gothic"/>
                <w:iCs/>
                <w:noProof/>
                <w:webHidden/>
                <w:color w:val="6E6E7C"/>
                <w:sz w:val="21"/>
                <w:szCs w:val="21"/>
              </w:rPr>
              <w:fldChar w:fldCharType="end"/>
            </w:r>
          </w:hyperlink>
        </w:p>
        <w:p w14:paraId="569EE090" w14:textId="57013236" w:rsidR="00CE2EB4" w:rsidRPr="00CE2EB4" w:rsidRDefault="00746E03" w:rsidP="002022CC">
          <w:pPr>
            <w:pStyle w:val="TDC2"/>
            <w:rPr>
              <w:rStyle w:val="Hipervnculo"/>
              <w:rFonts w:ascii="Century Gothic" w:hAnsi="Century Gothic"/>
              <w:iCs/>
              <w:noProof/>
              <w:color w:val="6E6E7C"/>
              <w:sz w:val="21"/>
              <w:szCs w:val="21"/>
            </w:rPr>
          </w:pPr>
          <w:hyperlink w:anchor="_Toc161322568" w:history="1">
            <w:r w:rsidR="00CE2EB4" w:rsidRPr="00CE2EB4">
              <w:rPr>
                <w:rStyle w:val="Hipervnculo"/>
                <w:rFonts w:ascii="Century Gothic" w:hAnsi="Century Gothic"/>
                <w:iCs/>
                <w:noProof/>
                <w:color w:val="6E6E7C"/>
                <w:sz w:val="21"/>
                <w:szCs w:val="21"/>
              </w:rPr>
              <w:t>4.1.</w:t>
            </w:r>
            <w:r w:rsidR="00CE2EB4" w:rsidRPr="00CE2EB4">
              <w:rPr>
                <w:rStyle w:val="Hipervnculo"/>
                <w:rFonts w:ascii="Century Gothic" w:hAnsi="Century Gothic"/>
                <w:iCs/>
                <w:noProof/>
                <w:color w:val="6E6E7C"/>
                <w:sz w:val="21"/>
                <w:szCs w:val="21"/>
              </w:rPr>
              <w:tab/>
              <w:t>Sistemas informáticos y/o herramientas para el procesamiento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49</w:t>
            </w:r>
            <w:r w:rsidR="00CE2EB4" w:rsidRPr="00CE2EB4">
              <w:rPr>
                <w:rStyle w:val="Hipervnculo"/>
                <w:rFonts w:ascii="Century Gothic" w:hAnsi="Century Gothic"/>
                <w:iCs/>
                <w:noProof/>
                <w:webHidden/>
                <w:color w:val="6E6E7C"/>
                <w:sz w:val="21"/>
                <w:szCs w:val="21"/>
              </w:rPr>
              <w:fldChar w:fldCharType="end"/>
            </w:r>
          </w:hyperlink>
        </w:p>
        <w:p w14:paraId="2819D7BE" w14:textId="10372833" w:rsidR="00CE2EB4" w:rsidRPr="00CE2EB4" w:rsidRDefault="00746E03" w:rsidP="002022CC">
          <w:pPr>
            <w:pStyle w:val="TDC2"/>
            <w:rPr>
              <w:rStyle w:val="Hipervnculo"/>
              <w:rFonts w:ascii="Century Gothic" w:hAnsi="Century Gothic"/>
              <w:iCs/>
              <w:noProof/>
              <w:color w:val="6E6E7C"/>
              <w:sz w:val="21"/>
              <w:szCs w:val="21"/>
            </w:rPr>
          </w:pPr>
          <w:hyperlink w:anchor="_Toc161322569" w:history="1">
            <w:r w:rsidR="00CE2EB4" w:rsidRPr="00CE2EB4">
              <w:rPr>
                <w:rStyle w:val="Hipervnculo"/>
                <w:rFonts w:ascii="Century Gothic" w:hAnsi="Century Gothic"/>
                <w:iCs/>
                <w:noProof/>
                <w:color w:val="6E6E7C"/>
                <w:sz w:val="21"/>
                <w:szCs w:val="21"/>
              </w:rPr>
              <w:t>4.1.1</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Malla de Validación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_Toc161322569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49</w:t>
            </w:r>
            <w:r w:rsidR="00CE2EB4" w:rsidRPr="00CE2EB4">
              <w:rPr>
                <w:rStyle w:val="Hipervnculo"/>
                <w:rFonts w:ascii="Century Gothic" w:hAnsi="Century Gothic"/>
                <w:iCs/>
                <w:noProof/>
                <w:webHidden/>
                <w:color w:val="6E6E7C"/>
                <w:sz w:val="21"/>
                <w:szCs w:val="21"/>
              </w:rPr>
              <w:fldChar w:fldCharType="end"/>
            </w:r>
          </w:hyperlink>
        </w:p>
        <w:p w14:paraId="02766F4A" w14:textId="45C41097" w:rsidR="00CE2EB4" w:rsidRPr="00CE2EB4" w:rsidRDefault="00746E03" w:rsidP="002022CC">
          <w:pPr>
            <w:pStyle w:val="TDC2"/>
            <w:rPr>
              <w:rStyle w:val="Hipervnculo"/>
              <w:rFonts w:ascii="Century Gothic" w:hAnsi="Century Gothic"/>
              <w:iCs/>
              <w:noProof/>
              <w:color w:val="6E6E7C"/>
              <w:sz w:val="21"/>
              <w:szCs w:val="21"/>
            </w:rPr>
          </w:pPr>
          <w:hyperlink w:anchor="_Toc161322570" w:history="1">
            <w:r w:rsidR="00CE2EB4" w:rsidRPr="00CE2EB4">
              <w:rPr>
                <w:rStyle w:val="Hipervnculo"/>
                <w:rFonts w:ascii="Century Gothic" w:hAnsi="Century Gothic"/>
                <w:iCs/>
                <w:noProof/>
                <w:color w:val="6E6E7C"/>
                <w:sz w:val="21"/>
                <w:szCs w:val="21"/>
              </w:rPr>
              <w:t>4.1.2</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Validación RStudio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49</w:t>
            </w:r>
            <w:r w:rsidR="00CE2EB4" w:rsidRPr="00CE2EB4">
              <w:rPr>
                <w:rStyle w:val="Hipervnculo"/>
                <w:rFonts w:ascii="Century Gothic" w:hAnsi="Century Gothic"/>
                <w:iCs/>
                <w:noProof/>
                <w:webHidden/>
                <w:color w:val="6E6E7C"/>
                <w:sz w:val="21"/>
                <w:szCs w:val="21"/>
              </w:rPr>
              <w:fldChar w:fldCharType="end"/>
            </w:r>
          </w:hyperlink>
        </w:p>
        <w:p w14:paraId="14982681"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1" w:history="1">
            <w:r w:rsidR="00CE2EB4" w:rsidRPr="00CE2EB4">
              <w:rPr>
                <w:rStyle w:val="Hipervnculo"/>
                <w:rFonts w:ascii="Century Gothic" w:hAnsi="Century Gothic"/>
                <w:iCs/>
                <w:noProof/>
                <w:color w:val="6E6E7C"/>
                <w:sz w:val="21"/>
                <w:szCs w:val="21"/>
              </w:rPr>
              <w:t>4.2.</w:t>
            </w:r>
            <w:r w:rsidR="00CE2EB4" w:rsidRPr="00CE2EB4">
              <w:rPr>
                <w:rStyle w:val="Hipervnculo"/>
                <w:rFonts w:ascii="Century Gothic" w:hAnsi="Century Gothic"/>
                <w:iCs/>
                <w:noProof/>
                <w:color w:val="6E6E7C"/>
                <w:sz w:val="21"/>
                <w:szCs w:val="21"/>
              </w:rPr>
              <w:tab/>
              <w:t>Crítica y digitación de datos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50</w:t>
            </w:r>
            <w:r w:rsidR="00CE2EB4" w:rsidRPr="00CE2EB4">
              <w:rPr>
                <w:rStyle w:val="Hipervnculo"/>
                <w:rFonts w:ascii="Century Gothic" w:hAnsi="Century Gothic"/>
                <w:iCs/>
                <w:noProof/>
                <w:webHidden/>
                <w:color w:val="6E6E7C"/>
                <w:sz w:val="21"/>
                <w:szCs w:val="21"/>
              </w:rPr>
              <w:fldChar w:fldCharType="end"/>
            </w:r>
          </w:hyperlink>
        </w:p>
        <w:p w14:paraId="2C09D45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2" w:history="1">
            <w:r w:rsidR="00CE2EB4" w:rsidRPr="00CE2EB4">
              <w:rPr>
                <w:rStyle w:val="Hipervnculo"/>
                <w:rFonts w:ascii="Century Gothic" w:hAnsi="Century Gothic"/>
                <w:iCs/>
                <w:noProof/>
                <w:color w:val="6E6E7C"/>
                <w:sz w:val="21"/>
                <w:szCs w:val="21"/>
              </w:rPr>
              <w:t>4.3.</w:t>
            </w:r>
            <w:r w:rsidR="00CE2EB4" w:rsidRPr="00CE2EB4">
              <w:rPr>
                <w:rStyle w:val="Hipervnculo"/>
                <w:rFonts w:ascii="Century Gothic" w:hAnsi="Century Gothic"/>
                <w:iCs/>
                <w:noProof/>
                <w:color w:val="6E6E7C"/>
                <w:sz w:val="21"/>
                <w:szCs w:val="21"/>
              </w:rPr>
              <w:tab/>
              <w:t>Compilación, revisión, sincronización o extracción, e integración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51</w:t>
            </w:r>
            <w:r w:rsidR="00CE2EB4" w:rsidRPr="00CE2EB4">
              <w:rPr>
                <w:rStyle w:val="Hipervnculo"/>
                <w:rFonts w:ascii="Century Gothic" w:hAnsi="Century Gothic"/>
                <w:iCs/>
                <w:noProof/>
                <w:webHidden/>
                <w:color w:val="6E6E7C"/>
                <w:sz w:val="21"/>
                <w:szCs w:val="21"/>
              </w:rPr>
              <w:fldChar w:fldCharType="end"/>
            </w:r>
          </w:hyperlink>
        </w:p>
        <w:p w14:paraId="102313C6"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3" w:history="1">
            <w:r w:rsidR="00CE2EB4" w:rsidRPr="00CE2EB4">
              <w:rPr>
                <w:rStyle w:val="Hipervnculo"/>
                <w:rFonts w:ascii="Century Gothic" w:hAnsi="Century Gothic"/>
                <w:iCs/>
                <w:noProof/>
                <w:color w:val="6E6E7C"/>
                <w:sz w:val="21"/>
                <w:szCs w:val="21"/>
              </w:rPr>
              <w:t>4.4.</w:t>
            </w:r>
            <w:r w:rsidR="00CE2EB4" w:rsidRPr="00CE2EB4">
              <w:rPr>
                <w:rStyle w:val="Hipervnculo"/>
                <w:rFonts w:ascii="Century Gothic" w:hAnsi="Century Gothic"/>
                <w:iCs/>
                <w:noProof/>
                <w:color w:val="6E6E7C"/>
                <w:sz w:val="21"/>
                <w:szCs w:val="21"/>
              </w:rPr>
              <w:tab/>
              <w:t>Clasificaciones y/o codificaciones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52</w:t>
            </w:r>
            <w:r w:rsidR="00CE2EB4" w:rsidRPr="00CE2EB4">
              <w:rPr>
                <w:rStyle w:val="Hipervnculo"/>
                <w:rFonts w:ascii="Century Gothic" w:hAnsi="Century Gothic"/>
                <w:iCs/>
                <w:noProof/>
                <w:webHidden/>
                <w:color w:val="6E6E7C"/>
                <w:sz w:val="21"/>
                <w:szCs w:val="21"/>
              </w:rPr>
              <w:fldChar w:fldCharType="end"/>
            </w:r>
          </w:hyperlink>
        </w:p>
        <w:p w14:paraId="2CBA5F6F"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4" w:history="1">
            <w:r w:rsidR="00CE2EB4" w:rsidRPr="00CE2EB4">
              <w:rPr>
                <w:rStyle w:val="Hipervnculo"/>
                <w:rFonts w:ascii="Century Gothic" w:hAnsi="Century Gothic"/>
                <w:iCs/>
                <w:noProof/>
                <w:color w:val="6E6E7C"/>
                <w:sz w:val="21"/>
                <w:szCs w:val="21"/>
              </w:rPr>
              <w:t>4.5.</w:t>
            </w:r>
            <w:r w:rsidR="00CE2EB4" w:rsidRPr="00CE2EB4">
              <w:rPr>
                <w:rStyle w:val="Hipervnculo"/>
                <w:rFonts w:ascii="Century Gothic" w:hAnsi="Century Gothic"/>
                <w:iCs/>
                <w:noProof/>
                <w:color w:val="6E6E7C"/>
                <w:sz w:val="21"/>
                <w:szCs w:val="21"/>
              </w:rPr>
              <w:tab/>
              <w:t>Validación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53</w:t>
            </w:r>
            <w:r w:rsidR="00CE2EB4" w:rsidRPr="00CE2EB4">
              <w:rPr>
                <w:rStyle w:val="Hipervnculo"/>
                <w:rFonts w:ascii="Century Gothic" w:hAnsi="Century Gothic"/>
                <w:iCs/>
                <w:noProof/>
                <w:webHidden/>
                <w:color w:val="6E6E7C"/>
                <w:sz w:val="21"/>
                <w:szCs w:val="21"/>
              </w:rPr>
              <w:fldChar w:fldCharType="end"/>
            </w:r>
          </w:hyperlink>
        </w:p>
        <w:p w14:paraId="04EBEA43"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5" w:history="1">
            <w:r w:rsidR="00CE2EB4" w:rsidRPr="00CE2EB4">
              <w:rPr>
                <w:rStyle w:val="Hipervnculo"/>
                <w:rFonts w:ascii="Century Gothic" w:hAnsi="Century Gothic"/>
                <w:iCs/>
                <w:noProof/>
                <w:color w:val="6E6E7C"/>
                <w:sz w:val="21"/>
                <w:szCs w:val="21"/>
              </w:rPr>
              <w:t>4.6.</w:t>
            </w:r>
            <w:r w:rsidR="00CE2EB4" w:rsidRPr="00CE2EB4">
              <w:rPr>
                <w:rStyle w:val="Hipervnculo"/>
                <w:rFonts w:ascii="Century Gothic" w:hAnsi="Century Gothic"/>
                <w:iCs/>
                <w:noProof/>
                <w:color w:val="6E6E7C"/>
                <w:sz w:val="21"/>
                <w:szCs w:val="21"/>
              </w:rPr>
              <w:tab/>
              <w:t>Edición e imputación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54</w:t>
            </w:r>
            <w:r w:rsidR="00CE2EB4" w:rsidRPr="00CE2EB4">
              <w:rPr>
                <w:rStyle w:val="Hipervnculo"/>
                <w:rFonts w:ascii="Century Gothic" w:hAnsi="Century Gothic"/>
                <w:iCs/>
                <w:noProof/>
                <w:webHidden/>
                <w:color w:val="6E6E7C"/>
                <w:sz w:val="21"/>
                <w:szCs w:val="21"/>
              </w:rPr>
              <w:fldChar w:fldCharType="end"/>
            </w:r>
          </w:hyperlink>
        </w:p>
        <w:p w14:paraId="6986C40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6" w:history="1">
            <w:r w:rsidR="00CE2EB4" w:rsidRPr="00CE2EB4">
              <w:rPr>
                <w:rStyle w:val="Hipervnculo"/>
                <w:rFonts w:ascii="Century Gothic" w:hAnsi="Century Gothic"/>
                <w:iCs/>
                <w:noProof/>
                <w:color w:val="6E6E7C"/>
                <w:sz w:val="21"/>
                <w:szCs w:val="21"/>
              </w:rPr>
              <w:t>4.7.</w:t>
            </w:r>
            <w:r w:rsidR="00CE2EB4" w:rsidRPr="00CE2EB4">
              <w:rPr>
                <w:rStyle w:val="Hipervnculo"/>
                <w:rFonts w:ascii="Century Gothic" w:hAnsi="Century Gothic"/>
                <w:iCs/>
                <w:noProof/>
                <w:color w:val="6E6E7C"/>
                <w:sz w:val="21"/>
                <w:szCs w:val="21"/>
              </w:rPr>
              <w:tab/>
              <w:t>Ajustar los factores de expansión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58</w:t>
            </w:r>
            <w:r w:rsidR="00CE2EB4" w:rsidRPr="00CE2EB4">
              <w:rPr>
                <w:rStyle w:val="Hipervnculo"/>
                <w:rFonts w:ascii="Century Gothic" w:hAnsi="Century Gothic"/>
                <w:iCs/>
                <w:noProof/>
                <w:webHidden/>
                <w:color w:val="6E6E7C"/>
                <w:sz w:val="21"/>
                <w:szCs w:val="21"/>
              </w:rPr>
              <w:fldChar w:fldCharType="end"/>
            </w:r>
          </w:hyperlink>
        </w:p>
        <w:p w14:paraId="721A7F5A"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7" w:history="1">
            <w:r w:rsidR="00CE2EB4" w:rsidRPr="00CE2EB4">
              <w:rPr>
                <w:rStyle w:val="Hipervnculo"/>
                <w:rFonts w:ascii="Century Gothic" w:hAnsi="Century Gothic"/>
                <w:iCs/>
                <w:noProof/>
                <w:color w:val="6E6E7C"/>
                <w:sz w:val="21"/>
                <w:szCs w:val="21"/>
              </w:rPr>
              <w:t>4.8.</w:t>
            </w:r>
            <w:r w:rsidR="00CE2EB4" w:rsidRPr="00CE2EB4">
              <w:rPr>
                <w:rStyle w:val="Hipervnculo"/>
                <w:rFonts w:ascii="Century Gothic" w:hAnsi="Century Gothic"/>
                <w:iCs/>
                <w:noProof/>
                <w:color w:val="6E6E7C"/>
                <w:sz w:val="21"/>
                <w:szCs w:val="21"/>
              </w:rPr>
              <w:tab/>
              <w:t>Variables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_Toc161322577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58</w:t>
            </w:r>
            <w:r w:rsidR="00CE2EB4" w:rsidRPr="00CE2EB4">
              <w:rPr>
                <w:rStyle w:val="Hipervnculo"/>
                <w:rFonts w:ascii="Century Gothic" w:hAnsi="Century Gothic"/>
                <w:iCs/>
                <w:noProof/>
                <w:webHidden/>
                <w:color w:val="6E6E7C"/>
                <w:sz w:val="21"/>
                <w:szCs w:val="21"/>
              </w:rPr>
              <w:fldChar w:fldCharType="end"/>
            </w:r>
          </w:hyperlink>
        </w:p>
        <w:p w14:paraId="7D949ED8"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78" w:history="1">
            <w:r w:rsidR="00CE2EB4" w:rsidRPr="00CE2EB4">
              <w:rPr>
                <w:rStyle w:val="Hipervnculo"/>
                <w:rFonts w:ascii="Century Gothic" w:hAnsi="Century Gothic"/>
                <w:iCs/>
                <w:noProof/>
                <w:color w:val="6E6E7C"/>
                <w:sz w:val="21"/>
                <w:szCs w:val="21"/>
              </w:rPr>
              <w:t>4.9.</w:t>
            </w:r>
            <w:r w:rsidR="00CE2EB4" w:rsidRPr="00CE2EB4">
              <w:rPr>
                <w:rStyle w:val="Hipervnculo"/>
                <w:rFonts w:ascii="Century Gothic" w:hAnsi="Century Gothic"/>
                <w:iCs/>
                <w:noProof/>
                <w:color w:val="6E6E7C"/>
                <w:sz w:val="21"/>
                <w:szCs w:val="21"/>
              </w:rPr>
              <w:tab/>
              <w:t>Variables y unidades derivadas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59</w:t>
            </w:r>
            <w:r w:rsidR="00CE2EB4" w:rsidRPr="00CE2EB4">
              <w:rPr>
                <w:rStyle w:val="Hipervnculo"/>
                <w:rFonts w:ascii="Century Gothic" w:hAnsi="Century Gothic"/>
                <w:iCs/>
                <w:noProof/>
                <w:webHidden/>
                <w:color w:val="6E6E7C"/>
                <w:sz w:val="21"/>
                <w:szCs w:val="21"/>
              </w:rPr>
              <w:fldChar w:fldCharType="end"/>
            </w:r>
          </w:hyperlink>
        </w:p>
        <w:p w14:paraId="499ECE1D" w14:textId="3331F177" w:rsidR="00CE2EB4" w:rsidRPr="00CE2EB4" w:rsidRDefault="00746E03" w:rsidP="002022CC">
          <w:pPr>
            <w:pStyle w:val="TDC2"/>
            <w:rPr>
              <w:rStyle w:val="Hipervnculo"/>
              <w:rFonts w:ascii="Century Gothic" w:hAnsi="Century Gothic"/>
              <w:iCs/>
              <w:noProof/>
              <w:color w:val="6E6E7C"/>
              <w:sz w:val="21"/>
              <w:szCs w:val="21"/>
            </w:rPr>
          </w:pPr>
          <w:hyperlink w:anchor="_Toc161322579" w:history="1">
            <w:r w:rsidR="00CE2EB4" w:rsidRPr="00CE2EB4">
              <w:rPr>
                <w:rStyle w:val="Hipervnculo"/>
                <w:rFonts w:ascii="Century Gothic" w:hAnsi="Century Gothic"/>
                <w:iCs/>
                <w:noProof/>
                <w:color w:val="6E6E7C"/>
                <w:sz w:val="21"/>
                <w:szCs w:val="21"/>
              </w:rPr>
              <w:t>4.10.</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Indicadores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_Toc161322579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61</w:t>
            </w:r>
            <w:r w:rsidR="00CE2EB4" w:rsidRPr="00CE2EB4">
              <w:rPr>
                <w:rStyle w:val="Hipervnculo"/>
                <w:rFonts w:ascii="Century Gothic" w:hAnsi="Century Gothic"/>
                <w:iCs/>
                <w:noProof/>
                <w:webHidden/>
                <w:color w:val="6E6E7C"/>
                <w:sz w:val="21"/>
                <w:szCs w:val="21"/>
              </w:rPr>
              <w:fldChar w:fldCharType="end"/>
            </w:r>
          </w:hyperlink>
        </w:p>
        <w:p w14:paraId="6C55FBEF" w14:textId="6138C865" w:rsidR="00CE2EB4" w:rsidRPr="00CE2EB4" w:rsidRDefault="00746E03" w:rsidP="002022CC">
          <w:pPr>
            <w:pStyle w:val="TDC2"/>
            <w:rPr>
              <w:rStyle w:val="Hipervnculo"/>
              <w:rFonts w:ascii="Century Gothic" w:hAnsi="Century Gothic"/>
              <w:iCs/>
              <w:noProof/>
              <w:color w:val="6E6E7C"/>
              <w:sz w:val="21"/>
              <w:szCs w:val="21"/>
            </w:rPr>
          </w:pPr>
          <w:hyperlink w:anchor="_Toc161322580" w:history="1">
            <w:r w:rsidR="00CE2EB4" w:rsidRPr="00CE2EB4">
              <w:rPr>
                <w:rStyle w:val="Hipervnculo"/>
                <w:rFonts w:ascii="Century Gothic" w:hAnsi="Century Gothic"/>
                <w:iCs/>
                <w:noProof/>
                <w:color w:val="6E6E7C"/>
                <w:sz w:val="21"/>
                <w:szCs w:val="21"/>
              </w:rPr>
              <w:t>4.11.</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Tabulados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61</w:t>
            </w:r>
            <w:r w:rsidR="00CE2EB4" w:rsidRPr="00CE2EB4">
              <w:rPr>
                <w:rStyle w:val="Hipervnculo"/>
                <w:rFonts w:ascii="Century Gothic" w:hAnsi="Century Gothic"/>
                <w:iCs/>
                <w:noProof/>
                <w:webHidden/>
                <w:color w:val="6E6E7C"/>
                <w:sz w:val="21"/>
                <w:szCs w:val="21"/>
              </w:rPr>
              <w:fldChar w:fldCharType="end"/>
            </w:r>
          </w:hyperlink>
        </w:p>
        <w:p w14:paraId="39AEF204" w14:textId="1560E20A" w:rsidR="00CE2EB4" w:rsidRPr="00CE2EB4" w:rsidRDefault="00746E03" w:rsidP="002022CC">
          <w:pPr>
            <w:pStyle w:val="TDC2"/>
            <w:rPr>
              <w:rStyle w:val="Hipervnculo"/>
              <w:rFonts w:ascii="Century Gothic" w:hAnsi="Century Gothic"/>
              <w:iCs/>
              <w:noProof/>
              <w:color w:val="6E6E7C"/>
              <w:sz w:val="21"/>
              <w:szCs w:val="21"/>
            </w:rPr>
          </w:pPr>
          <w:hyperlink w:anchor="_Toc161322581" w:history="1">
            <w:r w:rsidR="00CE2EB4" w:rsidRPr="00CE2EB4">
              <w:rPr>
                <w:rStyle w:val="Hipervnculo"/>
                <w:rFonts w:ascii="Century Gothic" w:hAnsi="Century Gothic"/>
                <w:iCs/>
                <w:noProof/>
                <w:color w:val="6E6E7C"/>
                <w:sz w:val="21"/>
                <w:szCs w:val="21"/>
              </w:rPr>
              <w:t>4.12.</w:t>
            </w:r>
            <w:r w:rsidR="002022CC">
              <w:rPr>
                <w:rStyle w:val="Hipervnculo"/>
                <w:rFonts w:ascii="Century Gothic" w:hAnsi="Century Gothic"/>
                <w:iCs/>
                <w:noProof/>
                <w:color w:val="6E6E7C"/>
                <w:sz w:val="21"/>
                <w:szCs w:val="21"/>
              </w:rPr>
              <w:t xml:space="preserve">  </w:t>
            </w:r>
            <w:r w:rsidR="00CE2EB4" w:rsidRPr="00CE2EB4">
              <w:rPr>
                <w:rStyle w:val="Hipervnculo"/>
                <w:rFonts w:ascii="Century Gothic" w:hAnsi="Century Gothic"/>
                <w:iCs/>
                <w:noProof/>
                <w:color w:val="6E6E7C"/>
                <w:sz w:val="21"/>
                <w:szCs w:val="21"/>
              </w:rPr>
              <w:t>Finalizar los archivos de datos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62</w:t>
            </w:r>
            <w:r w:rsidR="00CE2EB4" w:rsidRPr="00CE2EB4">
              <w:rPr>
                <w:rStyle w:val="Hipervnculo"/>
                <w:rFonts w:ascii="Century Gothic" w:hAnsi="Century Gothic"/>
                <w:iCs/>
                <w:noProof/>
                <w:webHidden/>
                <w:color w:val="6E6E7C"/>
                <w:sz w:val="21"/>
                <w:szCs w:val="21"/>
              </w:rPr>
              <w:fldChar w:fldCharType="end"/>
            </w:r>
          </w:hyperlink>
        </w:p>
        <w:p w14:paraId="07875667" w14:textId="40CC4564" w:rsidR="00CE2EB4" w:rsidRPr="00CE2EB4" w:rsidRDefault="00746E03" w:rsidP="002022CC">
          <w:pPr>
            <w:pStyle w:val="TDC3"/>
            <w:rPr>
              <w:rStyle w:val="Hipervnculo"/>
              <w:rFonts w:ascii="Century Gothic" w:hAnsi="Century Gothic"/>
              <w:iCs/>
              <w:noProof/>
              <w:color w:val="6E6E7C"/>
              <w:sz w:val="21"/>
              <w:szCs w:val="21"/>
            </w:rPr>
          </w:pPr>
          <w:hyperlink w:anchor="_Toc161322582" w:history="1">
            <w:r w:rsidR="00CE2EB4" w:rsidRPr="00CE2EB4">
              <w:rPr>
                <w:rStyle w:val="Hipervnculo"/>
                <w:rFonts w:ascii="Century Gothic" w:hAnsi="Century Gothic"/>
                <w:iCs/>
                <w:noProof/>
                <w:color w:val="6E6E7C"/>
                <w:sz w:val="21"/>
                <w:szCs w:val="21"/>
              </w:rPr>
              <w:t>5.</w:t>
            </w:r>
            <w:r w:rsidR="00CE2EB4" w:rsidRPr="00CE2EB4">
              <w:rPr>
                <w:rStyle w:val="Hipervnculo"/>
                <w:rFonts w:ascii="Century Gothic" w:hAnsi="Century Gothic"/>
                <w:iCs/>
                <w:noProof/>
                <w:color w:val="6E6E7C"/>
                <w:sz w:val="21"/>
                <w:szCs w:val="21"/>
              </w:rPr>
              <w:tab/>
              <w:t>Metodología de análisis y difusión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63</w:t>
            </w:r>
            <w:r w:rsidR="00CE2EB4" w:rsidRPr="00CE2EB4">
              <w:rPr>
                <w:rStyle w:val="Hipervnculo"/>
                <w:rFonts w:ascii="Century Gothic" w:hAnsi="Century Gothic"/>
                <w:iCs/>
                <w:noProof/>
                <w:webHidden/>
                <w:color w:val="6E6E7C"/>
                <w:sz w:val="21"/>
                <w:szCs w:val="21"/>
              </w:rPr>
              <w:fldChar w:fldCharType="end"/>
            </w:r>
          </w:hyperlink>
        </w:p>
        <w:p w14:paraId="6E0A63D0"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84" w:history="1">
            <w:r w:rsidR="00CE2EB4" w:rsidRPr="00CE2EB4">
              <w:rPr>
                <w:rStyle w:val="Hipervnculo"/>
                <w:rFonts w:ascii="Century Gothic" w:hAnsi="Century Gothic"/>
                <w:iCs/>
                <w:noProof/>
                <w:color w:val="6E6E7C"/>
                <w:sz w:val="21"/>
                <w:szCs w:val="21"/>
              </w:rPr>
              <w:t>5.1.</w:t>
            </w:r>
            <w:r w:rsidR="00CE2EB4" w:rsidRPr="00CE2EB4">
              <w:rPr>
                <w:rStyle w:val="Hipervnculo"/>
                <w:rFonts w:ascii="Century Gothic" w:hAnsi="Century Gothic"/>
                <w:iCs/>
                <w:noProof/>
                <w:color w:val="6E6E7C"/>
                <w:sz w:val="21"/>
                <w:szCs w:val="21"/>
              </w:rPr>
              <w:tab/>
              <w:t>Consistencia e interpretación de resultados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63</w:t>
            </w:r>
            <w:r w:rsidR="00CE2EB4" w:rsidRPr="00CE2EB4">
              <w:rPr>
                <w:rStyle w:val="Hipervnculo"/>
                <w:rFonts w:ascii="Century Gothic" w:hAnsi="Century Gothic"/>
                <w:iCs/>
                <w:noProof/>
                <w:webHidden/>
                <w:color w:val="6E6E7C"/>
                <w:sz w:val="21"/>
                <w:szCs w:val="21"/>
              </w:rPr>
              <w:fldChar w:fldCharType="end"/>
            </w:r>
          </w:hyperlink>
        </w:p>
        <w:p w14:paraId="1FA41DD2"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85" w:history="1">
            <w:r w:rsidR="00CE2EB4" w:rsidRPr="00CE2EB4">
              <w:rPr>
                <w:rStyle w:val="Hipervnculo"/>
                <w:rFonts w:ascii="Century Gothic" w:hAnsi="Century Gothic"/>
                <w:iCs/>
                <w:noProof/>
                <w:color w:val="6E6E7C"/>
                <w:sz w:val="21"/>
                <w:szCs w:val="21"/>
              </w:rPr>
              <w:t>5.2.</w:t>
            </w:r>
            <w:r w:rsidR="00CE2EB4" w:rsidRPr="00CE2EB4">
              <w:rPr>
                <w:rStyle w:val="Hipervnculo"/>
                <w:rFonts w:ascii="Century Gothic" w:hAnsi="Century Gothic"/>
                <w:iCs/>
                <w:noProof/>
                <w:color w:val="6E6E7C"/>
                <w:sz w:val="21"/>
                <w:szCs w:val="21"/>
              </w:rPr>
              <w:tab/>
              <w:t>Resultados estadísticos y productos de difusión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65</w:t>
            </w:r>
            <w:r w:rsidR="00CE2EB4" w:rsidRPr="00CE2EB4">
              <w:rPr>
                <w:rStyle w:val="Hipervnculo"/>
                <w:rFonts w:ascii="Century Gothic" w:hAnsi="Century Gothic"/>
                <w:iCs/>
                <w:noProof/>
                <w:webHidden/>
                <w:color w:val="6E6E7C"/>
                <w:sz w:val="21"/>
                <w:szCs w:val="21"/>
              </w:rPr>
              <w:fldChar w:fldCharType="end"/>
            </w:r>
          </w:hyperlink>
        </w:p>
        <w:p w14:paraId="7618D37C"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86" w:history="1">
            <w:r w:rsidR="00CE2EB4" w:rsidRPr="00CE2EB4">
              <w:rPr>
                <w:rStyle w:val="Hipervnculo"/>
                <w:rFonts w:ascii="Century Gothic" w:hAnsi="Century Gothic"/>
                <w:iCs/>
                <w:noProof/>
                <w:color w:val="6E6E7C"/>
                <w:sz w:val="21"/>
                <w:szCs w:val="21"/>
              </w:rPr>
              <w:t>5.3.</w:t>
            </w:r>
            <w:r w:rsidR="00CE2EB4" w:rsidRPr="00CE2EB4">
              <w:rPr>
                <w:rStyle w:val="Hipervnculo"/>
                <w:rFonts w:ascii="Century Gothic" w:hAnsi="Century Gothic"/>
                <w:iCs/>
                <w:noProof/>
                <w:color w:val="6E6E7C"/>
                <w:sz w:val="21"/>
                <w:szCs w:val="21"/>
              </w:rPr>
              <w:tab/>
              <w:t>Control de difusión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66</w:t>
            </w:r>
            <w:r w:rsidR="00CE2EB4" w:rsidRPr="00CE2EB4">
              <w:rPr>
                <w:rStyle w:val="Hipervnculo"/>
                <w:rFonts w:ascii="Century Gothic" w:hAnsi="Century Gothic"/>
                <w:iCs/>
                <w:noProof/>
                <w:webHidden/>
                <w:color w:val="6E6E7C"/>
                <w:sz w:val="21"/>
                <w:szCs w:val="21"/>
              </w:rPr>
              <w:fldChar w:fldCharType="end"/>
            </w:r>
          </w:hyperlink>
        </w:p>
        <w:p w14:paraId="31761FDA" w14:textId="77777777" w:rsidR="00CE2EB4" w:rsidRPr="00CE2EB4" w:rsidRDefault="00746E03" w:rsidP="002022CC">
          <w:pPr>
            <w:pStyle w:val="TDC2"/>
            <w:rPr>
              <w:rStyle w:val="Hipervnculo"/>
              <w:rFonts w:ascii="Century Gothic" w:hAnsi="Century Gothic"/>
              <w:iCs/>
              <w:noProof/>
              <w:color w:val="6E6E7C"/>
              <w:sz w:val="21"/>
              <w:szCs w:val="21"/>
            </w:rPr>
          </w:pPr>
          <w:hyperlink w:anchor="_Toc161322587" w:history="1">
            <w:r w:rsidR="00CE2EB4" w:rsidRPr="00CE2EB4">
              <w:rPr>
                <w:rStyle w:val="Hipervnculo"/>
                <w:rFonts w:ascii="Century Gothic" w:hAnsi="Century Gothic"/>
                <w:iCs/>
                <w:noProof/>
                <w:color w:val="6E6E7C"/>
                <w:sz w:val="21"/>
                <w:szCs w:val="21"/>
              </w:rPr>
              <w:t>5.4.</w:t>
            </w:r>
            <w:r w:rsidR="00CE2EB4" w:rsidRPr="00CE2EB4">
              <w:rPr>
                <w:rStyle w:val="Hipervnculo"/>
                <w:rFonts w:ascii="Century Gothic" w:hAnsi="Century Gothic"/>
                <w:iCs/>
                <w:noProof/>
                <w:color w:val="6E6E7C"/>
                <w:sz w:val="21"/>
                <w:szCs w:val="21"/>
              </w:rPr>
              <w:tab/>
              <w:t>Soporte al usuario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_Toc161322587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67</w:t>
            </w:r>
            <w:r w:rsidR="00CE2EB4" w:rsidRPr="00CE2EB4">
              <w:rPr>
                <w:rStyle w:val="Hipervnculo"/>
                <w:rFonts w:ascii="Century Gothic" w:hAnsi="Century Gothic"/>
                <w:iCs/>
                <w:noProof/>
                <w:webHidden/>
                <w:color w:val="6E6E7C"/>
                <w:sz w:val="21"/>
                <w:szCs w:val="21"/>
              </w:rPr>
              <w:fldChar w:fldCharType="end"/>
            </w:r>
          </w:hyperlink>
        </w:p>
        <w:p w14:paraId="1BB0C5F0"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88" w:history="1">
            <w:r w:rsidR="00CE2EB4" w:rsidRPr="00CE2EB4">
              <w:rPr>
                <w:rStyle w:val="Hipervnculo"/>
                <w:rFonts w:ascii="Century Gothic" w:hAnsi="Century Gothic"/>
                <w:iCs/>
                <w:noProof/>
                <w:color w:val="6E6E7C"/>
                <w:sz w:val="21"/>
                <w:szCs w:val="21"/>
              </w:rPr>
              <w:t>Glosario de términos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68</w:t>
            </w:r>
            <w:r w:rsidR="00CE2EB4" w:rsidRPr="00CE2EB4">
              <w:rPr>
                <w:rStyle w:val="Hipervnculo"/>
                <w:rFonts w:ascii="Century Gothic" w:hAnsi="Century Gothic"/>
                <w:iCs/>
                <w:noProof/>
                <w:webHidden/>
                <w:color w:val="6E6E7C"/>
                <w:sz w:val="21"/>
                <w:szCs w:val="21"/>
              </w:rPr>
              <w:fldChar w:fldCharType="end"/>
            </w:r>
          </w:hyperlink>
        </w:p>
        <w:p w14:paraId="67A6568F"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89" w:history="1">
            <w:r w:rsidR="00CE2EB4" w:rsidRPr="00CE2EB4">
              <w:rPr>
                <w:rStyle w:val="Hipervnculo"/>
                <w:rFonts w:ascii="Century Gothic" w:hAnsi="Century Gothic"/>
                <w:iCs/>
                <w:noProof/>
                <w:color w:val="6E6E7C"/>
                <w:sz w:val="21"/>
                <w:szCs w:val="21"/>
              </w:rPr>
              <w:t>Documentación relacionada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_Toc161322589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70</w:t>
            </w:r>
            <w:r w:rsidR="00CE2EB4" w:rsidRPr="00CE2EB4">
              <w:rPr>
                <w:rStyle w:val="Hipervnculo"/>
                <w:rFonts w:ascii="Century Gothic" w:hAnsi="Century Gothic"/>
                <w:iCs/>
                <w:noProof/>
                <w:webHidden/>
                <w:color w:val="6E6E7C"/>
                <w:sz w:val="21"/>
                <w:szCs w:val="21"/>
              </w:rPr>
              <w:fldChar w:fldCharType="end"/>
            </w:r>
          </w:hyperlink>
        </w:p>
        <w:p w14:paraId="7353AC00"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90" w:history="1">
            <w:r w:rsidR="00CE2EB4" w:rsidRPr="00CE2EB4">
              <w:rPr>
                <w:rStyle w:val="Hipervnculo"/>
                <w:rFonts w:ascii="Century Gothic" w:hAnsi="Century Gothic"/>
                <w:iCs/>
                <w:noProof/>
                <w:color w:val="6E6E7C"/>
                <w:sz w:val="21"/>
                <w:szCs w:val="21"/>
              </w:rPr>
              <w:t>Comisión de Cuentas Económicas y Productivas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70</w:t>
            </w:r>
            <w:r w:rsidR="00CE2EB4" w:rsidRPr="00CE2EB4">
              <w:rPr>
                <w:rStyle w:val="Hipervnculo"/>
                <w:rFonts w:ascii="Century Gothic" w:hAnsi="Century Gothic"/>
                <w:iCs/>
                <w:noProof/>
                <w:webHidden/>
                <w:color w:val="6E6E7C"/>
                <w:sz w:val="21"/>
                <w:szCs w:val="21"/>
              </w:rPr>
              <w:fldChar w:fldCharType="end"/>
            </w:r>
          </w:hyperlink>
        </w:p>
        <w:p w14:paraId="6BFA6619"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91" w:history="1">
            <w:r w:rsidR="00CE2EB4" w:rsidRPr="00CE2EB4">
              <w:rPr>
                <w:rStyle w:val="Hipervnculo"/>
                <w:rFonts w:ascii="Century Gothic" w:hAnsi="Century Gothic"/>
                <w:iCs/>
                <w:noProof/>
                <w:color w:val="6E6E7C"/>
                <w:sz w:val="21"/>
                <w:szCs w:val="21"/>
              </w:rPr>
              <w:t>Bibliografía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71</w:t>
            </w:r>
            <w:r w:rsidR="00CE2EB4" w:rsidRPr="00CE2EB4">
              <w:rPr>
                <w:rStyle w:val="Hipervnculo"/>
                <w:rFonts w:ascii="Century Gothic" w:hAnsi="Century Gothic"/>
                <w:iCs/>
                <w:noProof/>
                <w:webHidden/>
                <w:color w:val="6E6E7C"/>
                <w:sz w:val="21"/>
                <w:szCs w:val="21"/>
              </w:rPr>
              <w:fldChar w:fldCharType="end"/>
            </w:r>
          </w:hyperlink>
        </w:p>
        <w:p w14:paraId="002BAEB8" w14:textId="77777777" w:rsidR="00CE2EB4" w:rsidRPr="00CE2EB4" w:rsidRDefault="00746E03" w:rsidP="002022CC">
          <w:pPr>
            <w:pStyle w:val="TDC3"/>
            <w:rPr>
              <w:rStyle w:val="Hipervnculo"/>
              <w:rFonts w:ascii="Century Gothic" w:hAnsi="Century Gothic"/>
              <w:iCs/>
              <w:noProof/>
              <w:color w:val="6E6E7C"/>
              <w:sz w:val="21"/>
              <w:szCs w:val="21"/>
            </w:rPr>
          </w:pPr>
          <w:hyperlink w:anchor="_Toc161322592" w:history="1">
            <w:r w:rsidR="00CE2EB4" w:rsidRPr="00CE2EB4">
              <w:rPr>
                <w:rStyle w:val="Hipervnculo"/>
                <w:rFonts w:ascii="Century Gothic" w:hAnsi="Century Gothic"/>
                <w:iCs/>
                <w:noProof/>
                <w:color w:val="6E6E7C"/>
                <w:sz w:val="21"/>
                <w:szCs w:val="21"/>
              </w:rPr>
              <w:t>Anexos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75</w:t>
            </w:r>
            <w:r w:rsidR="00CE2EB4" w:rsidRPr="00CE2EB4">
              <w:rPr>
                <w:rStyle w:val="Hipervnculo"/>
                <w:rFonts w:ascii="Century Gothic" w:hAnsi="Century Gothic"/>
                <w:iCs/>
                <w:noProof/>
                <w:webHidden/>
                <w:color w:val="6E6E7C"/>
                <w:sz w:val="21"/>
                <w:szCs w:val="21"/>
              </w:rPr>
              <w:fldChar w:fldCharType="end"/>
            </w:r>
          </w:hyperlink>
        </w:p>
        <w:p w14:paraId="2C450CB2" w14:textId="77777777" w:rsidR="00E57CD6" w:rsidRPr="0089450F" w:rsidRDefault="00E57CD6" w:rsidP="002022CC">
          <w:pPr>
            <w:pStyle w:val="TDC3"/>
            <w:rPr>
              <w:rFonts w:eastAsiaTheme="minorEastAsia"/>
              <w:noProof/>
              <w:sz w:val="22"/>
              <w:szCs w:val="22"/>
              <w:lang w:eastAsia="es-EC"/>
            </w:rPr>
          </w:pPr>
          <w:r w:rsidRPr="00897A16">
            <w:rPr>
              <w:b/>
              <w:lang w:val="es-ES"/>
            </w:rPr>
            <w:fldChar w:fldCharType="end"/>
          </w:r>
        </w:p>
      </w:sdtContent>
    </w:sdt>
    <w:p w14:paraId="7004DBE8" w14:textId="77777777" w:rsidR="00436D5C" w:rsidRPr="0089450F" w:rsidRDefault="00436D5C">
      <w:pPr>
        <w:rPr>
          <w:rFonts w:ascii="Century Gothic" w:hAnsi="Century Gothic"/>
        </w:rPr>
      </w:pPr>
      <w:r w:rsidRPr="0089450F">
        <w:rPr>
          <w:rFonts w:ascii="Century Gothic" w:hAnsi="Century Gothic"/>
        </w:rPr>
        <w:br w:type="page"/>
      </w:r>
    </w:p>
    <w:p w14:paraId="05754BEB" w14:textId="77777777" w:rsidR="007A4F82" w:rsidRPr="00AB62B7" w:rsidRDefault="007A4F82" w:rsidP="007A4F82">
      <w:pPr>
        <w:pStyle w:val="Ttulo3"/>
        <w:rPr>
          <w:rStyle w:val="Hipervnculo"/>
          <w:rFonts w:eastAsiaTheme="minorHAnsi" w:cstheme="minorBidi"/>
          <w:noProof/>
          <w:color w:val="595959" w:themeColor="text1" w:themeTint="A6"/>
          <w:sz w:val="40"/>
          <w:szCs w:val="21"/>
          <w:u w:val="none"/>
        </w:rPr>
      </w:pPr>
      <w:bookmarkStart w:id="3" w:name="_Toc161322528"/>
      <w:bookmarkStart w:id="4" w:name="_Toc155793845"/>
      <w:bookmarkStart w:id="5" w:name="_Toc155867175"/>
      <w:r w:rsidRPr="00AB62B7">
        <w:rPr>
          <w:rStyle w:val="Hipervnculo"/>
          <w:rFonts w:eastAsiaTheme="minorHAnsi" w:cstheme="minorBidi"/>
          <w:noProof/>
          <w:color w:val="595959" w:themeColor="text1" w:themeTint="A6"/>
          <w:sz w:val="40"/>
          <w:szCs w:val="21"/>
          <w:u w:val="none"/>
        </w:rPr>
        <w:lastRenderedPageBreak/>
        <w:t xml:space="preserve">Lista de </w:t>
      </w:r>
      <w:r w:rsidR="009534E5" w:rsidRPr="00AB62B7">
        <w:rPr>
          <w:rStyle w:val="Hipervnculo"/>
          <w:rFonts w:eastAsiaTheme="minorHAnsi" w:cstheme="minorBidi"/>
          <w:noProof/>
          <w:color w:val="595959" w:themeColor="text1" w:themeTint="A6"/>
          <w:sz w:val="40"/>
          <w:szCs w:val="21"/>
          <w:u w:val="none"/>
        </w:rPr>
        <w:t>ilustraciones</w:t>
      </w:r>
      <w:bookmarkEnd w:id="3"/>
    </w:p>
    <w:p w14:paraId="1F3DC998" w14:textId="77777777" w:rsidR="00CE2EB4" w:rsidRPr="00CE2EB4" w:rsidRDefault="006E6B3C"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r w:rsidRPr="00CE2EB4">
        <w:rPr>
          <w:rStyle w:val="Hipervnculo"/>
          <w:rFonts w:ascii="Century Gothic" w:hAnsi="Century Gothic"/>
          <w:iCs/>
          <w:noProof/>
          <w:color w:val="6E6E7C"/>
          <w:sz w:val="21"/>
          <w:szCs w:val="21"/>
        </w:rPr>
        <w:fldChar w:fldCharType="begin"/>
      </w:r>
      <w:r w:rsidRPr="00CE2EB4">
        <w:rPr>
          <w:rStyle w:val="Hipervnculo"/>
          <w:rFonts w:ascii="Century Gothic" w:hAnsi="Century Gothic"/>
          <w:iCs/>
          <w:noProof/>
          <w:color w:val="6E6E7C"/>
          <w:sz w:val="21"/>
          <w:szCs w:val="21"/>
        </w:rPr>
        <w:instrText xml:space="preserve"> TOC \h \z \c "Ilustración" </w:instrText>
      </w:r>
      <w:r w:rsidRPr="00CE2EB4">
        <w:rPr>
          <w:rStyle w:val="Hipervnculo"/>
          <w:rFonts w:ascii="Century Gothic" w:hAnsi="Century Gothic"/>
          <w:iCs/>
          <w:noProof/>
          <w:color w:val="6E6E7C"/>
          <w:sz w:val="21"/>
          <w:szCs w:val="21"/>
        </w:rPr>
        <w:fldChar w:fldCharType="separate"/>
      </w:r>
      <w:hyperlink w:anchor="_Toc161322593" w:history="1">
        <w:r w:rsidR="00CE2EB4" w:rsidRPr="00CE2EB4">
          <w:rPr>
            <w:rStyle w:val="Hipervnculo"/>
            <w:rFonts w:ascii="Century Gothic" w:hAnsi="Century Gothic"/>
            <w:iCs/>
            <w:noProof/>
            <w:color w:val="6E6E7C"/>
            <w:sz w:val="21"/>
            <w:szCs w:val="21"/>
          </w:rPr>
          <w:t>Ilustración 1. Organigrama de equipos de trabajo en Coordinaciones Zonales – AC Campo / CZ Litoral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44</w:t>
        </w:r>
        <w:r w:rsidR="00CE2EB4" w:rsidRPr="00CE2EB4">
          <w:rPr>
            <w:rStyle w:val="Hipervnculo"/>
            <w:rFonts w:ascii="Century Gothic" w:hAnsi="Century Gothic"/>
            <w:iCs/>
            <w:noProof/>
            <w:webHidden/>
            <w:color w:val="6E6E7C"/>
            <w:sz w:val="21"/>
            <w:szCs w:val="21"/>
          </w:rPr>
          <w:fldChar w:fldCharType="end"/>
        </w:r>
      </w:hyperlink>
    </w:p>
    <w:p w14:paraId="206B8385"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594" w:history="1">
        <w:r w:rsidR="00CE2EB4" w:rsidRPr="00CE2EB4">
          <w:rPr>
            <w:rStyle w:val="Hipervnculo"/>
            <w:rFonts w:ascii="Century Gothic" w:hAnsi="Century Gothic"/>
            <w:iCs/>
            <w:noProof/>
            <w:color w:val="6E6E7C"/>
            <w:sz w:val="21"/>
            <w:szCs w:val="21"/>
          </w:rPr>
          <w:t>Ilustración 2. Organigrama de equipos de trabajo en Coordinaciones Zonales – CZ Sur / CZ Centro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44</w:t>
        </w:r>
        <w:r w:rsidR="00CE2EB4" w:rsidRPr="00CE2EB4">
          <w:rPr>
            <w:rStyle w:val="Hipervnculo"/>
            <w:rFonts w:ascii="Century Gothic" w:hAnsi="Century Gothic"/>
            <w:iCs/>
            <w:noProof/>
            <w:webHidden/>
            <w:color w:val="6E6E7C"/>
            <w:sz w:val="21"/>
            <w:szCs w:val="21"/>
          </w:rPr>
          <w:fldChar w:fldCharType="end"/>
        </w:r>
      </w:hyperlink>
    </w:p>
    <w:p w14:paraId="280A4BA5" w14:textId="778EEA29" w:rsidR="006E6B3C" w:rsidRPr="00CE2EB4" w:rsidRDefault="006E6B3C" w:rsidP="002022CC">
      <w:pPr>
        <w:pStyle w:val="Ttulo3"/>
        <w:spacing w:line="360" w:lineRule="auto"/>
        <w:jc w:val="both"/>
        <w:rPr>
          <w:rFonts w:eastAsiaTheme="minorHAnsi" w:cstheme="minorBidi"/>
          <w:noProof/>
          <w:color w:val="595959" w:themeColor="text1" w:themeTint="A6"/>
          <w:sz w:val="40"/>
          <w:szCs w:val="21"/>
        </w:rPr>
      </w:pPr>
      <w:r w:rsidRPr="00CE2EB4">
        <w:rPr>
          <w:rStyle w:val="Hipervnculo"/>
          <w:rFonts w:eastAsiaTheme="minorHAnsi" w:cstheme="minorBidi"/>
          <w:b w:val="0"/>
          <w:iCs/>
          <w:noProof/>
          <w:color w:val="6E6E7C"/>
          <w:sz w:val="21"/>
          <w:szCs w:val="21"/>
        </w:rPr>
        <w:fldChar w:fldCharType="end"/>
      </w:r>
      <w:bookmarkStart w:id="6" w:name="_Toc161322529"/>
      <w:r w:rsidR="00F2613D" w:rsidRPr="00AB62B7">
        <w:rPr>
          <w:rStyle w:val="Hipervnculo"/>
          <w:rFonts w:eastAsiaTheme="minorHAnsi" w:cstheme="minorBidi"/>
          <w:noProof/>
          <w:color w:val="595959" w:themeColor="text1" w:themeTint="A6"/>
          <w:sz w:val="40"/>
          <w:szCs w:val="21"/>
          <w:u w:val="none"/>
        </w:rPr>
        <w:t>Lista de tablas</w:t>
      </w:r>
      <w:bookmarkStart w:id="7" w:name="_Toc134781803"/>
      <w:bookmarkStart w:id="8" w:name="_Toc155793846"/>
      <w:bookmarkStart w:id="9" w:name="_Toc155867176"/>
      <w:bookmarkEnd w:id="4"/>
      <w:bookmarkEnd w:id="5"/>
      <w:bookmarkEnd w:id="6"/>
    </w:p>
    <w:p w14:paraId="1BB6D3FC" w14:textId="77777777" w:rsidR="00CE2EB4" w:rsidRPr="00CE2EB4" w:rsidRDefault="00F202AC"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r w:rsidRPr="00CE2EB4">
        <w:rPr>
          <w:rStyle w:val="Hipervnculo"/>
          <w:iCs/>
          <w:noProof/>
          <w:color w:val="6E6E7C"/>
        </w:rPr>
        <w:fldChar w:fldCharType="begin"/>
      </w:r>
      <w:r w:rsidRPr="00CE2EB4">
        <w:rPr>
          <w:rStyle w:val="Hipervnculo"/>
          <w:iCs/>
          <w:noProof/>
          <w:color w:val="6E6E7C"/>
        </w:rPr>
        <w:instrText xml:space="preserve"> TOC \h \z \c "Tabla" </w:instrText>
      </w:r>
      <w:r w:rsidRPr="00CE2EB4">
        <w:rPr>
          <w:rStyle w:val="Hipervnculo"/>
          <w:iCs/>
          <w:noProof/>
          <w:color w:val="6E6E7C"/>
        </w:rPr>
        <w:fldChar w:fldCharType="separate"/>
      </w:r>
      <w:hyperlink w:anchor="_Toc161322595" w:history="1">
        <w:r w:rsidR="00CE2EB4" w:rsidRPr="00CE2EB4">
          <w:rPr>
            <w:rStyle w:val="Hipervnculo"/>
            <w:rFonts w:ascii="Century Gothic" w:hAnsi="Century Gothic"/>
            <w:iCs/>
            <w:noProof/>
            <w:color w:val="6E6E7C"/>
            <w:sz w:val="21"/>
            <w:szCs w:val="21"/>
          </w:rPr>
          <w:t>Tabla 1. Ficha técnica de la operación estadística</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9</w:t>
        </w:r>
        <w:r w:rsidR="00CE2EB4" w:rsidRPr="00CE2EB4">
          <w:rPr>
            <w:rStyle w:val="Hipervnculo"/>
            <w:rFonts w:ascii="Century Gothic" w:hAnsi="Century Gothic"/>
            <w:iCs/>
            <w:noProof/>
            <w:webHidden/>
            <w:color w:val="6E6E7C"/>
            <w:sz w:val="21"/>
            <w:szCs w:val="21"/>
          </w:rPr>
          <w:fldChar w:fldCharType="end"/>
        </w:r>
      </w:hyperlink>
    </w:p>
    <w:p w14:paraId="4FEF35D9"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596" w:history="1">
        <w:r w:rsidR="00CE2EB4" w:rsidRPr="00CE2EB4">
          <w:rPr>
            <w:rStyle w:val="Hipervnculo"/>
            <w:rFonts w:ascii="Century Gothic" w:hAnsi="Century Gothic"/>
            <w:iCs/>
            <w:noProof/>
            <w:color w:val="6E6E7C"/>
            <w:sz w:val="21"/>
            <w:szCs w:val="21"/>
          </w:rPr>
          <w:t>Tabla 2. Usuarios nacionales y necesidades de la información de la ENESEM.</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23</w:t>
        </w:r>
        <w:r w:rsidR="00CE2EB4" w:rsidRPr="00CE2EB4">
          <w:rPr>
            <w:rStyle w:val="Hipervnculo"/>
            <w:rFonts w:ascii="Century Gothic" w:hAnsi="Century Gothic"/>
            <w:iCs/>
            <w:noProof/>
            <w:webHidden/>
            <w:color w:val="6E6E7C"/>
            <w:sz w:val="21"/>
            <w:szCs w:val="21"/>
          </w:rPr>
          <w:fldChar w:fldCharType="end"/>
        </w:r>
      </w:hyperlink>
    </w:p>
    <w:p w14:paraId="26F1B4BA"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597" w:history="1">
        <w:r w:rsidR="00CE2EB4" w:rsidRPr="00CE2EB4">
          <w:rPr>
            <w:rStyle w:val="Hipervnculo"/>
            <w:rFonts w:ascii="Century Gothic" w:hAnsi="Century Gothic"/>
            <w:iCs/>
            <w:noProof/>
            <w:color w:val="6E6E7C"/>
            <w:sz w:val="21"/>
            <w:szCs w:val="21"/>
          </w:rPr>
          <w:t>Tabla 3. Usuarios internacionales y necesidades de la información de la ENESEM</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_Toc161322597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23</w:t>
        </w:r>
        <w:r w:rsidR="00CE2EB4" w:rsidRPr="00CE2EB4">
          <w:rPr>
            <w:rStyle w:val="Hipervnculo"/>
            <w:rFonts w:ascii="Century Gothic" w:hAnsi="Century Gothic"/>
            <w:iCs/>
            <w:noProof/>
            <w:webHidden/>
            <w:color w:val="6E6E7C"/>
            <w:sz w:val="21"/>
            <w:szCs w:val="21"/>
          </w:rPr>
          <w:fldChar w:fldCharType="end"/>
        </w:r>
      </w:hyperlink>
    </w:p>
    <w:p w14:paraId="21AF16D1"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598" w:history="1">
        <w:r w:rsidR="00CE2EB4" w:rsidRPr="00CE2EB4">
          <w:rPr>
            <w:rStyle w:val="Hipervnculo"/>
            <w:rFonts w:ascii="Century Gothic" w:hAnsi="Century Gothic"/>
            <w:iCs/>
            <w:noProof/>
            <w:color w:val="6E6E7C"/>
            <w:sz w:val="21"/>
            <w:szCs w:val="21"/>
          </w:rPr>
          <w:t>Tabla 4. Operaciones estadísticas que ofertan información estadística de empresas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25</w:t>
        </w:r>
        <w:r w:rsidR="00CE2EB4" w:rsidRPr="00CE2EB4">
          <w:rPr>
            <w:rStyle w:val="Hipervnculo"/>
            <w:rFonts w:ascii="Century Gothic" w:hAnsi="Century Gothic"/>
            <w:iCs/>
            <w:noProof/>
            <w:webHidden/>
            <w:color w:val="6E6E7C"/>
            <w:sz w:val="21"/>
            <w:szCs w:val="21"/>
          </w:rPr>
          <w:fldChar w:fldCharType="end"/>
        </w:r>
      </w:hyperlink>
    </w:p>
    <w:p w14:paraId="550B2232"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599" w:history="1">
        <w:r w:rsidR="00CE2EB4" w:rsidRPr="00CE2EB4">
          <w:rPr>
            <w:rStyle w:val="Hipervnculo"/>
            <w:rFonts w:ascii="Century Gothic" w:hAnsi="Century Gothic"/>
            <w:iCs/>
            <w:noProof/>
            <w:color w:val="6E6E7C"/>
            <w:sz w:val="21"/>
            <w:szCs w:val="21"/>
          </w:rPr>
          <w:t>Tabla 5. Cobertura por sector económico y tamaño (número de empresas).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_Toc161322599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36</w:t>
        </w:r>
        <w:r w:rsidR="00CE2EB4" w:rsidRPr="00CE2EB4">
          <w:rPr>
            <w:rStyle w:val="Hipervnculo"/>
            <w:rFonts w:ascii="Century Gothic" w:hAnsi="Century Gothic"/>
            <w:iCs/>
            <w:noProof/>
            <w:webHidden/>
            <w:color w:val="6E6E7C"/>
            <w:sz w:val="21"/>
            <w:szCs w:val="21"/>
          </w:rPr>
          <w:fldChar w:fldCharType="end"/>
        </w:r>
      </w:hyperlink>
    </w:p>
    <w:p w14:paraId="272BC2F0"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0" w:history="1">
        <w:r w:rsidR="00CE2EB4" w:rsidRPr="00CE2EB4">
          <w:rPr>
            <w:rStyle w:val="Hipervnculo"/>
            <w:rFonts w:ascii="Century Gothic" w:hAnsi="Century Gothic"/>
            <w:iCs/>
            <w:noProof/>
            <w:color w:val="6E6E7C"/>
            <w:sz w:val="21"/>
            <w:szCs w:val="21"/>
          </w:rPr>
          <w:t>Tabla 6. Cargas de trabajo (número de empresas) según Zonal y personal contratado.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45</w:t>
        </w:r>
        <w:r w:rsidR="00CE2EB4" w:rsidRPr="00CE2EB4">
          <w:rPr>
            <w:rStyle w:val="Hipervnculo"/>
            <w:rFonts w:ascii="Century Gothic" w:hAnsi="Century Gothic"/>
            <w:iCs/>
            <w:noProof/>
            <w:webHidden/>
            <w:color w:val="6E6E7C"/>
            <w:sz w:val="21"/>
            <w:szCs w:val="21"/>
          </w:rPr>
          <w:fldChar w:fldCharType="end"/>
        </w:r>
      </w:hyperlink>
    </w:p>
    <w:p w14:paraId="54E244CE"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1" w:history="1">
        <w:r w:rsidR="00CE2EB4" w:rsidRPr="00CE2EB4">
          <w:rPr>
            <w:rStyle w:val="Hipervnculo"/>
            <w:rFonts w:ascii="Century Gothic" w:hAnsi="Century Gothic"/>
            <w:iCs/>
            <w:noProof/>
            <w:color w:val="6E6E7C"/>
            <w:sz w:val="21"/>
            <w:szCs w:val="21"/>
          </w:rPr>
          <w:t>Tabla 7. Matriz de indicadores de calidad de la ENESEM 2022:</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47</w:t>
        </w:r>
        <w:r w:rsidR="00CE2EB4" w:rsidRPr="00CE2EB4">
          <w:rPr>
            <w:rStyle w:val="Hipervnculo"/>
            <w:rFonts w:ascii="Century Gothic" w:hAnsi="Century Gothic"/>
            <w:iCs/>
            <w:noProof/>
            <w:webHidden/>
            <w:color w:val="6E6E7C"/>
            <w:sz w:val="21"/>
            <w:szCs w:val="21"/>
          </w:rPr>
          <w:fldChar w:fldCharType="end"/>
        </w:r>
      </w:hyperlink>
    </w:p>
    <w:p w14:paraId="077687F4"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2" w:history="1">
        <w:r w:rsidR="00CE2EB4" w:rsidRPr="00CE2EB4">
          <w:rPr>
            <w:rStyle w:val="Hipervnculo"/>
            <w:rFonts w:ascii="Century Gothic" w:hAnsi="Century Gothic"/>
            <w:iCs/>
            <w:noProof/>
            <w:color w:val="6E6E7C"/>
            <w:sz w:val="21"/>
            <w:szCs w:val="21"/>
          </w:rPr>
          <w:t>Tabla 8. Asignación del tipo de error</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54</w:t>
        </w:r>
        <w:r w:rsidR="00CE2EB4" w:rsidRPr="00CE2EB4">
          <w:rPr>
            <w:rStyle w:val="Hipervnculo"/>
            <w:rFonts w:ascii="Century Gothic" w:hAnsi="Century Gothic"/>
            <w:iCs/>
            <w:noProof/>
            <w:webHidden/>
            <w:color w:val="6E6E7C"/>
            <w:sz w:val="21"/>
            <w:szCs w:val="21"/>
          </w:rPr>
          <w:fldChar w:fldCharType="end"/>
        </w:r>
      </w:hyperlink>
    </w:p>
    <w:p w14:paraId="694A4B71"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3" w:history="1">
        <w:r w:rsidR="00CE2EB4" w:rsidRPr="00CE2EB4">
          <w:rPr>
            <w:rStyle w:val="Hipervnculo"/>
            <w:rFonts w:ascii="Century Gothic" w:hAnsi="Century Gothic"/>
            <w:iCs/>
            <w:noProof/>
            <w:color w:val="6E6E7C"/>
            <w:sz w:val="21"/>
            <w:szCs w:val="21"/>
          </w:rPr>
          <w:t>Tabla 9. Ejemplificación del proceso de estimación del Capítulo V, estructura preexistente</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56</w:t>
        </w:r>
        <w:r w:rsidR="00CE2EB4" w:rsidRPr="00CE2EB4">
          <w:rPr>
            <w:rStyle w:val="Hipervnculo"/>
            <w:rFonts w:ascii="Century Gothic" w:hAnsi="Century Gothic"/>
            <w:iCs/>
            <w:noProof/>
            <w:webHidden/>
            <w:color w:val="6E6E7C"/>
            <w:sz w:val="21"/>
            <w:szCs w:val="21"/>
          </w:rPr>
          <w:fldChar w:fldCharType="end"/>
        </w:r>
      </w:hyperlink>
    </w:p>
    <w:p w14:paraId="623D29E8"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4" w:history="1">
        <w:r w:rsidR="00CE2EB4" w:rsidRPr="00CE2EB4">
          <w:rPr>
            <w:rStyle w:val="Hipervnculo"/>
            <w:rFonts w:ascii="Century Gothic" w:hAnsi="Century Gothic"/>
            <w:iCs/>
            <w:noProof/>
            <w:color w:val="6E6E7C"/>
            <w:sz w:val="21"/>
            <w:szCs w:val="21"/>
          </w:rPr>
          <w:t>Tabla 10. Ejemplificación del proceso de estimación del Capítulo V, casos no coincidentes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56</w:t>
        </w:r>
        <w:r w:rsidR="00CE2EB4" w:rsidRPr="00CE2EB4">
          <w:rPr>
            <w:rStyle w:val="Hipervnculo"/>
            <w:rFonts w:ascii="Century Gothic" w:hAnsi="Century Gothic"/>
            <w:iCs/>
            <w:noProof/>
            <w:webHidden/>
            <w:color w:val="6E6E7C"/>
            <w:sz w:val="21"/>
            <w:szCs w:val="21"/>
          </w:rPr>
          <w:fldChar w:fldCharType="end"/>
        </w:r>
      </w:hyperlink>
    </w:p>
    <w:p w14:paraId="5F7D8CC9"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5" w:history="1">
        <w:r w:rsidR="00CE2EB4" w:rsidRPr="00CE2EB4">
          <w:rPr>
            <w:rStyle w:val="Hipervnculo"/>
            <w:rFonts w:ascii="Century Gothic" w:hAnsi="Century Gothic"/>
            <w:iCs/>
            <w:noProof/>
            <w:color w:val="6E6E7C"/>
            <w:sz w:val="21"/>
            <w:szCs w:val="21"/>
          </w:rPr>
          <w:t>Tabla 11. Proceso de estimación del Capítulo V, fusión de empresas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57</w:t>
        </w:r>
        <w:r w:rsidR="00CE2EB4" w:rsidRPr="00CE2EB4">
          <w:rPr>
            <w:rStyle w:val="Hipervnculo"/>
            <w:rFonts w:ascii="Century Gothic" w:hAnsi="Century Gothic"/>
            <w:iCs/>
            <w:noProof/>
            <w:webHidden/>
            <w:color w:val="6E6E7C"/>
            <w:sz w:val="21"/>
            <w:szCs w:val="21"/>
          </w:rPr>
          <w:fldChar w:fldCharType="end"/>
        </w:r>
      </w:hyperlink>
    </w:p>
    <w:p w14:paraId="6E8EDD3F"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6" w:history="1">
        <w:r w:rsidR="00CE2EB4" w:rsidRPr="00CE2EB4">
          <w:rPr>
            <w:rStyle w:val="Hipervnculo"/>
            <w:rFonts w:ascii="Century Gothic" w:hAnsi="Century Gothic"/>
            <w:iCs/>
            <w:noProof/>
            <w:color w:val="6E6E7C"/>
            <w:sz w:val="21"/>
            <w:szCs w:val="21"/>
          </w:rPr>
          <w:t>Tabla 12. Lista de las principales variables.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58</w:t>
        </w:r>
        <w:r w:rsidR="00CE2EB4" w:rsidRPr="00CE2EB4">
          <w:rPr>
            <w:rStyle w:val="Hipervnculo"/>
            <w:rFonts w:ascii="Century Gothic" w:hAnsi="Century Gothic"/>
            <w:iCs/>
            <w:noProof/>
            <w:webHidden/>
            <w:color w:val="6E6E7C"/>
            <w:sz w:val="21"/>
            <w:szCs w:val="21"/>
          </w:rPr>
          <w:fldChar w:fldCharType="end"/>
        </w:r>
      </w:hyperlink>
    </w:p>
    <w:p w14:paraId="79CABF1B"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7" w:history="1">
        <w:r w:rsidR="00CE2EB4" w:rsidRPr="00CE2EB4">
          <w:rPr>
            <w:rStyle w:val="Hipervnculo"/>
            <w:rFonts w:ascii="Century Gothic" w:hAnsi="Century Gothic"/>
            <w:iCs/>
            <w:noProof/>
            <w:color w:val="6E6E7C"/>
            <w:sz w:val="21"/>
            <w:szCs w:val="21"/>
          </w:rPr>
          <w:t>Tabla 13. Serie histórica de los agregados económicos de la ENESEM:</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_Toc161322607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64</w:t>
        </w:r>
        <w:r w:rsidR="00CE2EB4" w:rsidRPr="00CE2EB4">
          <w:rPr>
            <w:rStyle w:val="Hipervnculo"/>
            <w:rFonts w:ascii="Century Gothic" w:hAnsi="Century Gothic"/>
            <w:iCs/>
            <w:noProof/>
            <w:webHidden/>
            <w:color w:val="6E6E7C"/>
            <w:sz w:val="21"/>
            <w:szCs w:val="21"/>
          </w:rPr>
          <w:fldChar w:fldCharType="end"/>
        </w:r>
      </w:hyperlink>
    </w:p>
    <w:p w14:paraId="72126D82"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8" w:history="1">
        <w:r w:rsidR="00CE2EB4" w:rsidRPr="00CE2EB4">
          <w:rPr>
            <w:rStyle w:val="Hipervnculo"/>
            <w:rFonts w:ascii="Century Gothic" w:hAnsi="Century Gothic"/>
            <w:iCs/>
            <w:noProof/>
            <w:color w:val="6E6E7C"/>
            <w:sz w:val="21"/>
            <w:szCs w:val="21"/>
          </w:rPr>
          <w:t>Tabla 14. Listado de productos de la ENESEM 2022:</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65</w:t>
        </w:r>
        <w:r w:rsidR="00CE2EB4" w:rsidRPr="00CE2EB4">
          <w:rPr>
            <w:rStyle w:val="Hipervnculo"/>
            <w:rFonts w:ascii="Century Gothic" w:hAnsi="Century Gothic"/>
            <w:iCs/>
            <w:noProof/>
            <w:webHidden/>
            <w:color w:val="6E6E7C"/>
            <w:sz w:val="21"/>
            <w:szCs w:val="21"/>
          </w:rPr>
          <w:fldChar w:fldCharType="end"/>
        </w:r>
      </w:hyperlink>
    </w:p>
    <w:p w14:paraId="48001A6C" w14:textId="77777777" w:rsidR="00CE2EB4" w:rsidRPr="00CE2EB4" w:rsidRDefault="00746E03" w:rsidP="00CE2EB4">
      <w:pPr>
        <w:pStyle w:val="Tabladeilustraciones"/>
        <w:tabs>
          <w:tab w:val="right" w:leader="dot" w:pos="8488"/>
        </w:tabs>
        <w:spacing w:line="360" w:lineRule="auto"/>
        <w:jc w:val="both"/>
        <w:rPr>
          <w:rStyle w:val="Hipervnculo"/>
          <w:rFonts w:ascii="Century Gothic" w:hAnsi="Century Gothic"/>
          <w:iCs/>
          <w:noProof/>
          <w:color w:val="6E6E7C"/>
          <w:sz w:val="21"/>
          <w:szCs w:val="21"/>
        </w:rPr>
      </w:pPr>
      <w:hyperlink w:anchor="_Toc161322609" w:history="1">
        <w:r w:rsidR="00CE2EB4" w:rsidRPr="00CE2EB4">
          <w:rPr>
            <w:rStyle w:val="Hipervnculo"/>
            <w:rFonts w:ascii="Century Gothic" w:hAnsi="Century Gothic"/>
            <w:iCs/>
            <w:noProof/>
            <w:color w:val="6E6E7C"/>
            <w:sz w:val="21"/>
            <w:szCs w:val="21"/>
          </w:rPr>
          <w:t>Tabla 15. Productos de difusión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_Toc161322609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67</w:t>
        </w:r>
        <w:r w:rsidR="00CE2EB4" w:rsidRPr="00CE2EB4">
          <w:rPr>
            <w:rStyle w:val="Hipervnculo"/>
            <w:rFonts w:ascii="Century Gothic" w:hAnsi="Century Gothic"/>
            <w:iCs/>
            <w:noProof/>
            <w:webHidden/>
            <w:color w:val="6E6E7C"/>
            <w:sz w:val="21"/>
            <w:szCs w:val="21"/>
          </w:rPr>
          <w:fldChar w:fldCharType="end"/>
        </w:r>
      </w:hyperlink>
    </w:p>
    <w:p w14:paraId="14C231FE" w14:textId="77777777" w:rsidR="006E6B3C" w:rsidRPr="00CE2EB4" w:rsidRDefault="00F202AC" w:rsidP="00CE2EB4">
      <w:pPr>
        <w:spacing w:line="360" w:lineRule="auto"/>
        <w:jc w:val="both"/>
        <w:rPr>
          <w:rStyle w:val="Hipervnculo"/>
          <w:iCs/>
          <w:noProof/>
          <w:color w:val="6E6E7C"/>
        </w:rPr>
      </w:pPr>
      <w:r w:rsidRPr="00CE2EB4">
        <w:rPr>
          <w:rStyle w:val="Hipervnculo"/>
          <w:iCs/>
          <w:noProof/>
          <w:color w:val="6E6E7C"/>
        </w:rPr>
        <w:fldChar w:fldCharType="end"/>
      </w:r>
    </w:p>
    <w:p w14:paraId="790495FE" w14:textId="77777777" w:rsidR="0089051C" w:rsidRPr="00CE2EB4" w:rsidRDefault="0089051C" w:rsidP="00CE2EB4">
      <w:pPr>
        <w:spacing w:line="360" w:lineRule="auto"/>
        <w:jc w:val="both"/>
        <w:rPr>
          <w:rStyle w:val="Hipervnculo"/>
          <w:iCs/>
          <w:noProof/>
          <w:color w:val="6E6E7C"/>
        </w:rPr>
      </w:pPr>
      <w:r w:rsidRPr="00CE2EB4">
        <w:rPr>
          <w:rStyle w:val="Hipervnculo"/>
          <w:iCs/>
          <w:noProof/>
          <w:color w:val="6E6E7C"/>
        </w:rPr>
        <w:br w:type="page"/>
      </w:r>
    </w:p>
    <w:p w14:paraId="3FFB1E5F" w14:textId="77777777" w:rsidR="007A4F82" w:rsidRPr="00F202AC" w:rsidRDefault="00F2613D" w:rsidP="00CE6225">
      <w:pPr>
        <w:pStyle w:val="Ttulo3"/>
        <w:rPr>
          <w:rStyle w:val="Hipervnculo"/>
          <w:rFonts w:eastAsiaTheme="minorHAnsi" w:cstheme="minorBidi"/>
          <w:noProof/>
          <w:color w:val="595959" w:themeColor="text1" w:themeTint="A6"/>
          <w:sz w:val="40"/>
          <w:szCs w:val="40"/>
          <w:u w:val="none"/>
        </w:rPr>
      </w:pPr>
      <w:bookmarkStart w:id="10" w:name="_Toc161322530"/>
      <w:r w:rsidRPr="00F202AC">
        <w:rPr>
          <w:rStyle w:val="Hipervnculo"/>
          <w:rFonts w:eastAsiaTheme="minorHAnsi" w:cstheme="minorBidi"/>
          <w:noProof/>
          <w:color w:val="595959" w:themeColor="text1" w:themeTint="A6"/>
          <w:sz w:val="40"/>
          <w:szCs w:val="40"/>
          <w:u w:val="none"/>
        </w:rPr>
        <w:lastRenderedPageBreak/>
        <w:t>Lista de anexos</w:t>
      </w:r>
      <w:bookmarkStart w:id="11" w:name="_Toc134781804"/>
      <w:bookmarkStart w:id="12" w:name="_Toc155793847"/>
      <w:bookmarkStart w:id="13" w:name="_Toc155867177"/>
      <w:bookmarkEnd w:id="7"/>
      <w:bookmarkEnd w:id="8"/>
      <w:bookmarkEnd w:id="9"/>
      <w:bookmarkEnd w:id="10"/>
    </w:p>
    <w:p w14:paraId="65DC1BD0" w14:textId="77777777" w:rsidR="00CE2EB4" w:rsidRPr="00CE2EB4" w:rsidRDefault="00F202AC" w:rsidP="00CE2EB4">
      <w:pPr>
        <w:pStyle w:val="Tabladeilustraciones"/>
        <w:tabs>
          <w:tab w:val="right" w:leader="dot" w:pos="8488"/>
        </w:tabs>
        <w:spacing w:line="360" w:lineRule="auto"/>
        <w:rPr>
          <w:rStyle w:val="Hipervnculo"/>
          <w:rFonts w:ascii="Century Gothic" w:hAnsi="Century Gothic"/>
          <w:iCs/>
          <w:noProof/>
          <w:color w:val="6E6E7C"/>
          <w:sz w:val="21"/>
          <w:szCs w:val="21"/>
        </w:rPr>
      </w:pPr>
      <w:r w:rsidRPr="00F202AC">
        <w:rPr>
          <w:rStyle w:val="Hipervnculo"/>
          <w:rFonts w:ascii="Century Gothic" w:hAnsi="Century Gothic"/>
          <w:iCs/>
          <w:noProof/>
          <w:color w:val="6E6E7C"/>
          <w:sz w:val="21"/>
          <w:szCs w:val="21"/>
        </w:rPr>
        <w:fldChar w:fldCharType="begin"/>
      </w:r>
      <w:r w:rsidRPr="00F202AC">
        <w:rPr>
          <w:rStyle w:val="Hipervnculo"/>
          <w:rFonts w:ascii="Century Gothic" w:hAnsi="Century Gothic"/>
          <w:iCs/>
          <w:noProof/>
          <w:color w:val="6E6E7C"/>
          <w:sz w:val="21"/>
          <w:szCs w:val="21"/>
        </w:rPr>
        <w:instrText xml:space="preserve"> TOC \h \z \c "Anexo" </w:instrText>
      </w:r>
      <w:r w:rsidRPr="00F202AC">
        <w:rPr>
          <w:rStyle w:val="Hipervnculo"/>
          <w:rFonts w:ascii="Century Gothic" w:hAnsi="Century Gothic"/>
          <w:iCs/>
          <w:noProof/>
          <w:color w:val="6E6E7C"/>
          <w:sz w:val="21"/>
          <w:szCs w:val="21"/>
        </w:rPr>
        <w:fldChar w:fldCharType="separate"/>
      </w:r>
      <w:hyperlink r:id="rId10" w:anchor="_Toc161322610" w:history="1">
        <w:r w:rsidR="00CE2EB4" w:rsidRPr="00CE2EB4">
          <w:rPr>
            <w:rStyle w:val="Hipervnculo"/>
            <w:rFonts w:ascii="Century Gothic" w:hAnsi="Century Gothic"/>
            <w:iCs/>
            <w:noProof/>
            <w:color w:val="6E6E7C"/>
            <w:sz w:val="21"/>
            <w:szCs w:val="21"/>
          </w:rPr>
          <w:t>Anexo 1. Guía del usuario informante - INFOCAPT</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_Toc161322610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75</w:t>
        </w:r>
        <w:r w:rsidR="00CE2EB4" w:rsidRPr="00CE2EB4">
          <w:rPr>
            <w:rStyle w:val="Hipervnculo"/>
            <w:rFonts w:ascii="Century Gothic" w:hAnsi="Century Gothic"/>
            <w:iCs/>
            <w:noProof/>
            <w:webHidden/>
            <w:color w:val="6E6E7C"/>
            <w:sz w:val="21"/>
            <w:szCs w:val="21"/>
          </w:rPr>
          <w:fldChar w:fldCharType="end"/>
        </w:r>
      </w:hyperlink>
    </w:p>
    <w:p w14:paraId="4823EFAD"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r:id="rId11" w:anchor="_Toc161322611" w:history="1">
        <w:r w:rsidR="00CE2EB4" w:rsidRPr="00CE2EB4">
          <w:rPr>
            <w:rStyle w:val="Hipervnculo"/>
            <w:rFonts w:ascii="Century Gothic" w:hAnsi="Century Gothic"/>
            <w:iCs/>
            <w:noProof/>
            <w:color w:val="6E6E7C"/>
            <w:sz w:val="21"/>
            <w:szCs w:val="21"/>
          </w:rPr>
          <w:t>Anexo 2. Interfaz del Sistema INFOCAPT – Módulo de administración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_Toc161322611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76</w:t>
        </w:r>
        <w:r w:rsidR="00CE2EB4" w:rsidRPr="00CE2EB4">
          <w:rPr>
            <w:rStyle w:val="Hipervnculo"/>
            <w:rFonts w:ascii="Century Gothic" w:hAnsi="Century Gothic"/>
            <w:iCs/>
            <w:noProof/>
            <w:webHidden/>
            <w:color w:val="6E6E7C"/>
            <w:sz w:val="21"/>
            <w:szCs w:val="21"/>
          </w:rPr>
          <w:fldChar w:fldCharType="end"/>
        </w:r>
      </w:hyperlink>
    </w:p>
    <w:p w14:paraId="25AE9604"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r:id="rId12" w:anchor="_Toc161322612" w:history="1">
        <w:r w:rsidR="00CE2EB4" w:rsidRPr="00CE2EB4">
          <w:rPr>
            <w:rStyle w:val="Hipervnculo"/>
            <w:rFonts w:ascii="Century Gothic" w:hAnsi="Century Gothic"/>
            <w:iCs/>
            <w:noProof/>
            <w:color w:val="6E6E7C"/>
            <w:sz w:val="21"/>
            <w:szCs w:val="21"/>
          </w:rPr>
          <w:t>Anexo 3. Manual del entrevistador crítica y codificación.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_Toc161322612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77</w:t>
        </w:r>
        <w:r w:rsidR="00CE2EB4" w:rsidRPr="00CE2EB4">
          <w:rPr>
            <w:rStyle w:val="Hipervnculo"/>
            <w:rFonts w:ascii="Century Gothic" w:hAnsi="Century Gothic"/>
            <w:iCs/>
            <w:noProof/>
            <w:webHidden/>
            <w:color w:val="6E6E7C"/>
            <w:sz w:val="21"/>
            <w:szCs w:val="21"/>
          </w:rPr>
          <w:fldChar w:fldCharType="end"/>
        </w:r>
      </w:hyperlink>
    </w:p>
    <w:p w14:paraId="35BDECF2"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r:id="rId13" w:anchor="_Toc161322613" w:history="1">
        <w:r w:rsidR="00CE2EB4" w:rsidRPr="00CE2EB4">
          <w:rPr>
            <w:rStyle w:val="Hipervnculo"/>
            <w:rFonts w:ascii="Century Gothic" w:hAnsi="Century Gothic"/>
            <w:iCs/>
            <w:noProof/>
            <w:color w:val="6E6E7C"/>
            <w:sz w:val="21"/>
            <w:szCs w:val="21"/>
          </w:rPr>
          <w:t>Anexo 4. Formulario de seguimiento de las Operaciones de Campo</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_Toc161322613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78</w:t>
        </w:r>
        <w:r w:rsidR="00CE2EB4" w:rsidRPr="00CE2EB4">
          <w:rPr>
            <w:rStyle w:val="Hipervnculo"/>
            <w:rFonts w:ascii="Century Gothic" w:hAnsi="Century Gothic"/>
            <w:iCs/>
            <w:noProof/>
            <w:webHidden/>
            <w:color w:val="6E6E7C"/>
            <w:sz w:val="21"/>
            <w:szCs w:val="21"/>
          </w:rPr>
          <w:fldChar w:fldCharType="end"/>
        </w:r>
      </w:hyperlink>
    </w:p>
    <w:p w14:paraId="5237E36B"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w:anchor="_Toc161322614" w:history="1">
        <w:r w:rsidR="00CE2EB4" w:rsidRPr="00CE2EB4">
          <w:rPr>
            <w:rStyle w:val="Hipervnculo"/>
            <w:rFonts w:ascii="Century Gothic" w:hAnsi="Century Gothic"/>
            <w:iCs/>
            <w:noProof/>
            <w:color w:val="6E6E7C"/>
            <w:sz w:val="21"/>
            <w:szCs w:val="21"/>
          </w:rPr>
          <w:t>Anexo 5. Script de Encuestadores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_Toc161322614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79</w:t>
        </w:r>
        <w:r w:rsidR="00CE2EB4" w:rsidRPr="00CE2EB4">
          <w:rPr>
            <w:rStyle w:val="Hipervnculo"/>
            <w:rFonts w:ascii="Century Gothic" w:hAnsi="Century Gothic"/>
            <w:iCs/>
            <w:noProof/>
            <w:webHidden/>
            <w:color w:val="6E6E7C"/>
            <w:sz w:val="21"/>
            <w:szCs w:val="21"/>
          </w:rPr>
          <w:fldChar w:fldCharType="end"/>
        </w:r>
      </w:hyperlink>
    </w:p>
    <w:p w14:paraId="451C621A"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r:id="rId14" w:anchor="_Toc161322615" w:history="1">
        <w:r w:rsidR="00CE2EB4" w:rsidRPr="00CE2EB4">
          <w:rPr>
            <w:rStyle w:val="Hipervnculo"/>
            <w:rFonts w:ascii="Century Gothic" w:hAnsi="Century Gothic"/>
            <w:iCs/>
            <w:noProof/>
            <w:color w:val="6E6E7C"/>
            <w:sz w:val="21"/>
            <w:szCs w:val="21"/>
          </w:rPr>
          <w:t>Anexo 6. Oficio ENESEM 2022</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_Toc161322615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80</w:t>
        </w:r>
        <w:r w:rsidR="00CE2EB4" w:rsidRPr="00CE2EB4">
          <w:rPr>
            <w:rStyle w:val="Hipervnculo"/>
            <w:rFonts w:ascii="Century Gothic" w:hAnsi="Century Gothic"/>
            <w:iCs/>
            <w:noProof/>
            <w:webHidden/>
            <w:color w:val="6E6E7C"/>
            <w:sz w:val="21"/>
            <w:szCs w:val="21"/>
          </w:rPr>
          <w:fldChar w:fldCharType="end"/>
        </w:r>
      </w:hyperlink>
    </w:p>
    <w:p w14:paraId="6CEC5E4D"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r:id="rId15" w:anchor="_Toc161322616" w:history="1">
        <w:r w:rsidR="00CE2EB4" w:rsidRPr="00CE2EB4">
          <w:rPr>
            <w:rStyle w:val="Hipervnculo"/>
            <w:rFonts w:ascii="Century Gothic" w:hAnsi="Century Gothic"/>
            <w:iCs/>
            <w:noProof/>
            <w:color w:val="6E6E7C"/>
            <w:sz w:val="21"/>
            <w:szCs w:val="21"/>
          </w:rPr>
          <w:t>Anexo 7. Instructivo de seguridad y resguardo de la información</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_Toc161322616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81</w:t>
        </w:r>
        <w:r w:rsidR="00CE2EB4" w:rsidRPr="00CE2EB4">
          <w:rPr>
            <w:rStyle w:val="Hipervnculo"/>
            <w:rFonts w:ascii="Century Gothic" w:hAnsi="Century Gothic"/>
            <w:iCs/>
            <w:noProof/>
            <w:webHidden/>
            <w:color w:val="6E6E7C"/>
            <w:sz w:val="21"/>
            <w:szCs w:val="21"/>
          </w:rPr>
          <w:fldChar w:fldCharType="end"/>
        </w:r>
      </w:hyperlink>
    </w:p>
    <w:p w14:paraId="42EAAE87"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r:id="rId16" w:anchor="_Toc161322617" w:history="1">
        <w:r w:rsidR="00CE2EB4" w:rsidRPr="00CE2EB4">
          <w:rPr>
            <w:rStyle w:val="Hipervnculo"/>
            <w:rFonts w:ascii="Century Gothic" w:hAnsi="Century Gothic"/>
            <w:iCs/>
            <w:noProof/>
            <w:color w:val="6E6E7C"/>
            <w:sz w:val="21"/>
            <w:szCs w:val="21"/>
          </w:rPr>
          <w:t>Anexo 8. Justificativos de llenado en papel y presencial</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_Toc161322617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82</w:t>
        </w:r>
        <w:r w:rsidR="00CE2EB4" w:rsidRPr="00CE2EB4">
          <w:rPr>
            <w:rStyle w:val="Hipervnculo"/>
            <w:rFonts w:ascii="Century Gothic" w:hAnsi="Century Gothic"/>
            <w:iCs/>
            <w:noProof/>
            <w:webHidden/>
            <w:color w:val="6E6E7C"/>
            <w:sz w:val="21"/>
            <w:szCs w:val="21"/>
          </w:rPr>
          <w:fldChar w:fldCharType="end"/>
        </w:r>
      </w:hyperlink>
    </w:p>
    <w:p w14:paraId="403642F1" w14:textId="77777777" w:rsidR="00CE2EB4" w:rsidRPr="00CE2EB4" w:rsidRDefault="00746E03" w:rsidP="00CE2EB4">
      <w:pPr>
        <w:pStyle w:val="Tabladeilustraciones"/>
        <w:tabs>
          <w:tab w:val="right" w:leader="dot" w:pos="8488"/>
        </w:tabs>
        <w:spacing w:line="360" w:lineRule="auto"/>
        <w:rPr>
          <w:rStyle w:val="Hipervnculo"/>
          <w:rFonts w:ascii="Century Gothic" w:hAnsi="Century Gothic"/>
          <w:iCs/>
          <w:noProof/>
          <w:color w:val="6E6E7C"/>
          <w:sz w:val="21"/>
          <w:szCs w:val="21"/>
        </w:rPr>
      </w:pPr>
      <w:hyperlink r:id="rId17" w:anchor="_Toc161322618" w:history="1">
        <w:r w:rsidR="00CE2EB4" w:rsidRPr="00CE2EB4">
          <w:rPr>
            <w:rStyle w:val="Hipervnculo"/>
            <w:rFonts w:ascii="Century Gothic" w:hAnsi="Century Gothic"/>
            <w:iCs/>
            <w:noProof/>
            <w:color w:val="6E6E7C"/>
            <w:sz w:val="21"/>
            <w:szCs w:val="21"/>
          </w:rPr>
          <w:t>Anexo 9. Formulario de justificación para uso de credenciales</w:t>
        </w:r>
        <w:r w:rsidR="00CE2EB4" w:rsidRPr="00CE2EB4">
          <w:rPr>
            <w:rStyle w:val="Hipervnculo"/>
            <w:rFonts w:ascii="Century Gothic" w:hAnsi="Century Gothic"/>
            <w:iCs/>
            <w:noProof/>
            <w:webHidden/>
            <w:color w:val="6E6E7C"/>
            <w:sz w:val="21"/>
            <w:szCs w:val="21"/>
          </w:rPr>
          <w:tab/>
        </w:r>
        <w:r w:rsidR="00CE2EB4" w:rsidRPr="00CE2EB4">
          <w:rPr>
            <w:rStyle w:val="Hipervnculo"/>
            <w:rFonts w:ascii="Century Gothic" w:hAnsi="Century Gothic"/>
            <w:iCs/>
            <w:noProof/>
            <w:webHidden/>
            <w:color w:val="6E6E7C"/>
            <w:sz w:val="21"/>
            <w:szCs w:val="21"/>
          </w:rPr>
          <w:fldChar w:fldCharType="begin"/>
        </w:r>
        <w:r w:rsidR="00CE2EB4" w:rsidRPr="00CE2EB4">
          <w:rPr>
            <w:rStyle w:val="Hipervnculo"/>
            <w:rFonts w:ascii="Century Gothic" w:hAnsi="Century Gothic"/>
            <w:iCs/>
            <w:noProof/>
            <w:webHidden/>
            <w:color w:val="6E6E7C"/>
            <w:sz w:val="21"/>
            <w:szCs w:val="21"/>
          </w:rPr>
          <w:instrText xml:space="preserve"> PAGEREF _Toc161322618 \h </w:instrText>
        </w:r>
        <w:r w:rsidR="00CE2EB4" w:rsidRPr="00CE2EB4">
          <w:rPr>
            <w:rStyle w:val="Hipervnculo"/>
            <w:rFonts w:ascii="Century Gothic" w:hAnsi="Century Gothic"/>
            <w:iCs/>
            <w:noProof/>
            <w:webHidden/>
            <w:color w:val="6E6E7C"/>
            <w:sz w:val="21"/>
            <w:szCs w:val="21"/>
          </w:rPr>
        </w:r>
        <w:r w:rsidR="00CE2EB4" w:rsidRPr="00CE2EB4">
          <w:rPr>
            <w:rStyle w:val="Hipervnculo"/>
            <w:rFonts w:ascii="Century Gothic" w:hAnsi="Century Gothic"/>
            <w:iCs/>
            <w:noProof/>
            <w:webHidden/>
            <w:color w:val="6E6E7C"/>
            <w:sz w:val="21"/>
            <w:szCs w:val="21"/>
          </w:rPr>
          <w:fldChar w:fldCharType="separate"/>
        </w:r>
        <w:r w:rsidR="005873C5">
          <w:rPr>
            <w:rStyle w:val="Hipervnculo"/>
            <w:rFonts w:ascii="Century Gothic" w:hAnsi="Century Gothic"/>
            <w:iCs/>
            <w:noProof/>
            <w:webHidden/>
            <w:color w:val="6E6E7C"/>
            <w:sz w:val="21"/>
            <w:szCs w:val="21"/>
          </w:rPr>
          <w:t>83</w:t>
        </w:r>
        <w:r w:rsidR="00CE2EB4" w:rsidRPr="00CE2EB4">
          <w:rPr>
            <w:rStyle w:val="Hipervnculo"/>
            <w:rFonts w:ascii="Century Gothic" w:hAnsi="Century Gothic"/>
            <w:iCs/>
            <w:noProof/>
            <w:webHidden/>
            <w:color w:val="6E6E7C"/>
            <w:sz w:val="21"/>
            <w:szCs w:val="21"/>
          </w:rPr>
          <w:fldChar w:fldCharType="end"/>
        </w:r>
      </w:hyperlink>
    </w:p>
    <w:p w14:paraId="075982ED" w14:textId="77777777" w:rsidR="007A4F82" w:rsidRPr="002B59F0" w:rsidRDefault="00F202AC" w:rsidP="00CE2EB4">
      <w:pPr>
        <w:spacing w:line="360" w:lineRule="auto"/>
        <w:jc w:val="both"/>
        <w:rPr>
          <w:rStyle w:val="Hipervnculo"/>
          <w:rFonts w:ascii="Century Gothic" w:hAnsi="Century Gothic"/>
          <w:iCs/>
          <w:noProof/>
          <w:color w:val="6E6E7C"/>
          <w:sz w:val="21"/>
          <w:szCs w:val="21"/>
        </w:rPr>
      </w:pPr>
      <w:r w:rsidRPr="00F202AC">
        <w:rPr>
          <w:rStyle w:val="Hipervnculo"/>
          <w:rFonts w:ascii="Century Gothic" w:hAnsi="Century Gothic"/>
          <w:iCs/>
          <w:noProof/>
          <w:color w:val="6E6E7C"/>
          <w:sz w:val="21"/>
          <w:szCs w:val="21"/>
        </w:rPr>
        <w:fldChar w:fldCharType="end"/>
      </w:r>
    </w:p>
    <w:p w14:paraId="10007B78" w14:textId="77777777" w:rsidR="007A4F82" w:rsidRDefault="007A4F82" w:rsidP="007A4F82"/>
    <w:p w14:paraId="7D8D5500" w14:textId="77777777" w:rsidR="007A4F82" w:rsidRDefault="007A4F82" w:rsidP="007A4F82"/>
    <w:p w14:paraId="3202D9DC" w14:textId="77777777" w:rsidR="007A4F82" w:rsidRDefault="007A4F82" w:rsidP="007A4F82"/>
    <w:p w14:paraId="326CA650" w14:textId="77777777" w:rsidR="007A4F82" w:rsidRDefault="007A4F82" w:rsidP="007A4F82"/>
    <w:p w14:paraId="0D35194B" w14:textId="77777777" w:rsidR="007A4F82" w:rsidRDefault="007A4F82" w:rsidP="007A4F82"/>
    <w:p w14:paraId="4917F7A3" w14:textId="77777777" w:rsidR="007A4F82" w:rsidRDefault="007A4F82" w:rsidP="007A4F82"/>
    <w:p w14:paraId="3783F431" w14:textId="77777777" w:rsidR="007A4F82" w:rsidRDefault="007A4F82" w:rsidP="007A4F82"/>
    <w:p w14:paraId="5C3BDCAF" w14:textId="77777777" w:rsidR="007A4F82" w:rsidRDefault="007A4F82" w:rsidP="007A4F82"/>
    <w:p w14:paraId="7F8DFA17" w14:textId="77777777" w:rsidR="007A4F82" w:rsidRDefault="007A4F82" w:rsidP="007A4F82"/>
    <w:p w14:paraId="04C0405E" w14:textId="77777777" w:rsidR="007A4F82" w:rsidRDefault="007A4F82" w:rsidP="007A4F82"/>
    <w:p w14:paraId="5E71FAF0" w14:textId="77777777" w:rsidR="007A4F82" w:rsidRDefault="007A4F82" w:rsidP="007A4F82"/>
    <w:p w14:paraId="55B4AA25" w14:textId="77777777" w:rsidR="007A4F82" w:rsidRDefault="007A4F82" w:rsidP="007A4F82"/>
    <w:p w14:paraId="0EF028EF" w14:textId="77777777" w:rsidR="007A4F82" w:rsidRDefault="007A4F82" w:rsidP="007A4F82"/>
    <w:p w14:paraId="2E5F03FC" w14:textId="77777777" w:rsidR="007A4F82" w:rsidRDefault="007A4F82" w:rsidP="007A4F82"/>
    <w:p w14:paraId="0E28A601" w14:textId="77777777" w:rsidR="007A4F82" w:rsidRDefault="007A4F82" w:rsidP="007A4F82"/>
    <w:p w14:paraId="48752478" w14:textId="77777777" w:rsidR="007A4F82" w:rsidRDefault="007A4F82" w:rsidP="007A4F82"/>
    <w:p w14:paraId="5104DA99" w14:textId="77777777" w:rsidR="007A4F82" w:rsidRDefault="007A4F82" w:rsidP="007A4F82"/>
    <w:p w14:paraId="4242F29A" w14:textId="77777777" w:rsidR="007A4F82" w:rsidRDefault="007A4F82" w:rsidP="007A4F82"/>
    <w:p w14:paraId="1D61E1AD" w14:textId="77777777" w:rsidR="007A4F82" w:rsidRDefault="007A4F82" w:rsidP="007A4F82"/>
    <w:p w14:paraId="4F1B7A9F" w14:textId="77777777" w:rsidR="007A4F82" w:rsidRDefault="007A4F82" w:rsidP="007A4F82"/>
    <w:p w14:paraId="6C3BF841" w14:textId="77777777" w:rsidR="007A4F82" w:rsidRDefault="007A4F82" w:rsidP="007A4F82"/>
    <w:p w14:paraId="53AFD54A" w14:textId="77777777" w:rsidR="007A4F82" w:rsidRDefault="007A4F82" w:rsidP="007A4F82"/>
    <w:p w14:paraId="1B966581" w14:textId="77777777" w:rsidR="007A4F82" w:rsidRDefault="007A4F82" w:rsidP="007A4F82"/>
    <w:p w14:paraId="73C0D5BC" w14:textId="77777777" w:rsidR="007A4F82" w:rsidRDefault="007A4F82" w:rsidP="007A4F82"/>
    <w:p w14:paraId="47D47F43" w14:textId="77777777" w:rsidR="00F67521" w:rsidRDefault="00F67521" w:rsidP="007A4F82"/>
    <w:p w14:paraId="3E2311D2" w14:textId="77777777" w:rsidR="00F67521" w:rsidRDefault="00F67521" w:rsidP="007A4F82"/>
    <w:p w14:paraId="626F6F04" w14:textId="77777777" w:rsidR="007A4F82" w:rsidRDefault="007A4F82" w:rsidP="007A4F82"/>
    <w:p w14:paraId="6802E277" w14:textId="77777777" w:rsidR="007A4F82" w:rsidRDefault="007A4F82" w:rsidP="007A4F82"/>
    <w:p w14:paraId="51B6CC4A" w14:textId="77777777" w:rsidR="0089051C" w:rsidRDefault="0089051C">
      <w:r>
        <w:br w:type="page"/>
      </w:r>
    </w:p>
    <w:p w14:paraId="6CC823A6" w14:textId="77777777" w:rsidR="00F2613D" w:rsidRPr="0089450F" w:rsidRDefault="00F2613D" w:rsidP="00CE6225">
      <w:pPr>
        <w:pStyle w:val="Ttulo3"/>
        <w:rPr>
          <w:color w:val="595959" w:themeColor="text1" w:themeTint="A6"/>
          <w:sz w:val="40"/>
        </w:rPr>
      </w:pPr>
      <w:bookmarkStart w:id="14" w:name="_Toc161322531"/>
      <w:r w:rsidRPr="0089450F">
        <w:rPr>
          <w:color w:val="595959" w:themeColor="text1" w:themeTint="A6"/>
          <w:sz w:val="40"/>
        </w:rPr>
        <w:lastRenderedPageBreak/>
        <w:t>Siglas</w:t>
      </w:r>
      <w:bookmarkEnd w:id="11"/>
      <w:bookmarkEnd w:id="12"/>
      <w:bookmarkEnd w:id="13"/>
      <w:bookmarkEnd w:id="14"/>
      <w:r w:rsidRPr="0089450F">
        <w:rPr>
          <w:color w:val="595959" w:themeColor="text1" w:themeTint="A6"/>
          <w:sz w:val="40"/>
        </w:rPr>
        <w:t xml:space="preserve"> </w:t>
      </w:r>
    </w:p>
    <w:p w14:paraId="550C7F4E" w14:textId="77777777" w:rsidR="00D10F88" w:rsidRPr="0089450F" w:rsidRDefault="00D10F88" w:rsidP="00D10F88">
      <w:pPr>
        <w:rPr>
          <w:rFonts w:ascii="Century Gothic" w:hAnsi="Century Gothic"/>
          <w:color w:val="595959" w:themeColor="text1" w:themeTint="A6"/>
          <w:sz w:val="21"/>
          <w:szCs w:val="21"/>
        </w:rPr>
      </w:pPr>
    </w:p>
    <w:tbl>
      <w:tblPr>
        <w:tblW w:w="9443" w:type="dxa"/>
        <w:tblInd w:w="55" w:type="dxa"/>
        <w:tblCellMar>
          <w:left w:w="70" w:type="dxa"/>
          <w:right w:w="70" w:type="dxa"/>
        </w:tblCellMar>
        <w:tblLook w:val="04A0" w:firstRow="1" w:lastRow="0" w:firstColumn="1" w:lastColumn="0" w:noHBand="0" w:noVBand="1"/>
      </w:tblPr>
      <w:tblGrid>
        <w:gridCol w:w="1680"/>
        <w:gridCol w:w="1680"/>
        <w:gridCol w:w="6083"/>
      </w:tblGrid>
      <w:tr w:rsidR="00D10F88" w:rsidRPr="0089450F" w14:paraId="24E191A6" w14:textId="77777777" w:rsidTr="002F6DA2">
        <w:trPr>
          <w:trHeight w:val="345"/>
        </w:trPr>
        <w:tc>
          <w:tcPr>
            <w:tcW w:w="1680" w:type="dxa"/>
            <w:shd w:val="clear" w:color="auto" w:fill="auto"/>
            <w:noWrap/>
            <w:vAlign w:val="center"/>
            <w:hideMark/>
          </w:tcPr>
          <w:p w14:paraId="5B7CB1AB"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BCE:</w:t>
            </w:r>
          </w:p>
        </w:tc>
        <w:tc>
          <w:tcPr>
            <w:tcW w:w="1680" w:type="dxa"/>
            <w:shd w:val="clear" w:color="auto" w:fill="auto"/>
            <w:noWrap/>
            <w:vAlign w:val="center"/>
            <w:hideMark/>
          </w:tcPr>
          <w:p w14:paraId="59B8E142"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24A68FA6"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Banco Central del Ecuador</w:t>
            </w:r>
          </w:p>
        </w:tc>
      </w:tr>
      <w:tr w:rsidR="00D10F88" w:rsidRPr="0089450F" w14:paraId="37CD8C3A" w14:textId="77777777" w:rsidTr="002F6DA2">
        <w:trPr>
          <w:trHeight w:val="345"/>
        </w:trPr>
        <w:tc>
          <w:tcPr>
            <w:tcW w:w="1680" w:type="dxa"/>
            <w:shd w:val="clear" w:color="auto" w:fill="auto"/>
            <w:noWrap/>
            <w:vAlign w:val="center"/>
            <w:hideMark/>
          </w:tcPr>
          <w:p w14:paraId="7C9D4593"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CE:</w:t>
            </w:r>
          </w:p>
        </w:tc>
        <w:tc>
          <w:tcPr>
            <w:tcW w:w="1680" w:type="dxa"/>
            <w:shd w:val="clear" w:color="auto" w:fill="auto"/>
            <w:noWrap/>
            <w:vAlign w:val="center"/>
            <w:hideMark/>
          </w:tcPr>
          <w:p w14:paraId="3883020D"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14F28B0F"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Comisión Europea</w:t>
            </w:r>
          </w:p>
        </w:tc>
      </w:tr>
      <w:tr w:rsidR="00D10F88" w:rsidRPr="0089450F" w14:paraId="5A8BF6B4" w14:textId="77777777" w:rsidTr="002F6DA2">
        <w:trPr>
          <w:trHeight w:val="345"/>
        </w:trPr>
        <w:tc>
          <w:tcPr>
            <w:tcW w:w="1680" w:type="dxa"/>
            <w:shd w:val="clear" w:color="auto" w:fill="auto"/>
            <w:noWrap/>
            <w:vAlign w:val="center"/>
            <w:hideMark/>
          </w:tcPr>
          <w:p w14:paraId="63895560"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CENEC:</w:t>
            </w:r>
          </w:p>
        </w:tc>
        <w:tc>
          <w:tcPr>
            <w:tcW w:w="1680" w:type="dxa"/>
            <w:shd w:val="clear" w:color="auto" w:fill="auto"/>
            <w:noWrap/>
            <w:vAlign w:val="center"/>
            <w:hideMark/>
          </w:tcPr>
          <w:p w14:paraId="269D2895"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762A9466"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Censo Nacional Económico</w:t>
            </w:r>
          </w:p>
        </w:tc>
      </w:tr>
      <w:tr w:rsidR="00D10F88" w:rsidRPr="0089450F" w14:paraId="1ABC15EC" w14:textId="77777777" w:rsidTr="002F6DA2">
        <w:trPr>
          <w:trHeight w:val="345"/>
        </w:trPr>
        <w:tc>
          <w:tcPr>
            <w:tcW w:w="1680" w:type="dxa"/>
            <w:shd w:val="clear" w:color="auto" w:fill="auto"/>
            <w:noWrap/>
            <w:vAlign w:val="center"/>
            <w:hideMark/>
          </w:tcPr>
          <w:p w14:paraId="468435BA"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 xml:space="preserve">CIIU: </w:t>
            </w:r>
          </w:p>
        </w:tc>
        <w:tc>
          <w:tcPr>
            <w:tcW w:w="1680" w:type="dxa"/>
            <w:shd w:val="clear" w:color="auto" w:fill="auto"/>
            <w:noWrap/>
            <w:vAlign w:val="center"/>
            <w:hideMark/>
          </w:tcPr>
          <w:p w14:paraId="590DEE58"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067D94A4"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Clasificación Industrial Internacional Uniforme</w:t>
            </w:r>
          </w:p>
        </w:tc>
      </w:tr>
      <w:tr w:rsidR="00D10F88" w:rsidRPr="0089450F" w14:paraId="1625F3A2" w14:textId="77777777" w:rsidTr="002F6DA2">
        <w:trPr>
          <w:trHeight w:val="345"/>
        </w:trPr>
        <w:tc>
          <w:tcPr>
            <w:tcW w:w="1680" w:type="dxa"/>
            <w:shd w:val="clear" w:color="auto" w:fill="auto"/>
            <w:noWrap/>
            <w:vAlign w:val="center"/>
            <w:hideMark/>
          </w:tcPr>
          <w:p w14:paraId="3CA1B702"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CIUO:</w:t>
            </w:r>
          </w:p>
        </w:tc>
        <w:tc>
          <w:tcPr>
            <w:tcW w:w="1680" w:type="dxa"/>
            <w:shd w:val="clear" w:color="auto" w:fill="auto"/>
            <w:noWrap/>
            <w:vAlign w:val="center"/>
            <w:hideMark/>
          </w:tcPr>
          <w:p w14:paraId="22F68B04"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673FD046" w14:textId="77777777" w:rsidR="00D10F88" w:rsidRPr="001522B0" w:rsidRDefault="00D10F88" w:rsidP="00F07F0E">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 xml:space="preserve">Clasificación </w:t>
            </w:r>
            <w:r w:rsidR="00F07F0E">
              <w:rPr>
                <w:rFonts w:ascii="Century Gothic" w:eastAsia="Times New Roman" w:hAnsi="Century Gothic" w:cs="Aparajita"/>
                <w:iCs/>
                <w:color w:val="6E6E7C"/>
                <w:sz w:val="21"/>
                <w:szCs w:val="21"/>
                <w:lang w:eastAsia="es-EC"/>
              </w:rPr>
              <w:t xml:space="preserve">Internacional Uniforme </w:t>
            </w:r>
            <w:r w:rsidRPr="001522B0">
              <w:rPr>
                <w:rFonts w:ascii="Century Gothic" w:eastAsia="Times New Roman" w:hAnsi="Century Gothic" w:cs="Aparajita"/>
                <w:iCs/>
                <w:color w:val="6E6E7C"/>
                <w:sz w:val="21"/>
                <w:szCs w:val="21"/>
                <w:lang w:eastAsia="es-EC"/>
              </w:rPr>
              <w:t>de Ocupaciones</w:t>
            </w:r>
          </w:p>
        </w:tc>
      </w:tr>
      <w:tr w:rsidR="00D10F88" w:rsidRPr="0089450F" w14:paraId="3E1DB0EA" w14:textId="77777777" w:rsidTr="002F6DA2">
        <w:trPr>
          <w:trHeight w:val="282"/>
        </w:trPr>
        <w:tc>
          <w:tcPr>
            <w:tcW w:w="1680" w:type="dxa"/>
            <w:shd w:val="clear" w:color="auto" w:fill="auto"/>
            <w:noWrap/>
            <w:vAlign w:val="center"/>
            <w:hideMark/>
          </w:tcPr>
          <w:p w14:paraId="49005E66"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CPC:</w:t>
            </w:r>
          </w:p>
        </w:tc>
        <w:tc>
          <w:tcPr>
            <w:tcW w:w="1680" w:type="dxa"/>
            <w:shd w:val="clear" w:color="auto" w:fill="auto"/>
            <w:noWrap/>
            <w:vAlign w:val="center"/>
            <w:hideMark/>
          </w:tcPr>
          <w:p w14:paraId="2E325303"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5BA75967"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Clasificación Central de Productos</w:t>
            </w:r>
          </w:p>
        </w:tc>
      </w:tr>
      <w:tr w:rsidR="00D10F88" w:rsidRPr="0089450F" w14:paraId="4CE08B76" w14:textId="77777777" w:rsidTr="002F6DA2">
        <w:trPr>
          <w:trHeight w:val="285"/>
        </w:trPr>
        <w:tc>
          <w:tcPr>
            <w:tcW w:w="1680" w:type="dxa"/>
            <w:shd w:val="clear" w:color="auto" w:fill="auto"/>
            <w:noWrap/>
            <w:vAlign w:val="center"/>
            <w:hideMark/>
          </w:tcPr>
          <w:p w14:paraId="1418DB73"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DECON:</w:t>
            </w:r>
          </w:p>
        </w:tc>
        <w:tc>
          <w:tcPr>
            <w:tcW w:w="1680" w:type="dxa"/>
            <w:shd w:val="clear" w:color="auto" w:fill="auto"/>
            <w:noWrap/>
            <w:vAlign w:val="center"/>
            <w:hideMark/>
          </w:tcPr>
          <w:p w14:paraId="18A78779"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6E04E560"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Dirección de Estadísticas Económicas</w:t>
            </w:r>
          </w:p>
        </w:tc>
      </w:tr>
      <w:tr w:rsidR="00D10F88" w:rsidRPr="0089450F" w14:paraId="31807F98" w14:textId="77777777" w:rsidTr="002F6DA2">
        <w:trPr>
          <w:trHeight w:val="345"/>
        </w:trPr>
        <w:tc>
          <w:tcPr>
            <w:tcW w:w="1680" w:type="dxa"/>
            <w:shd w:val="clear" w:color="auto" w:fill="auto"/>
            <w:noWrap/>
            <w:vAlign w:val="center"/>
            <w:hideMark/>
          </w:tcPr>
          <w:p w14:paraId="5D5303CF" w14:textId="77777777" w:rsidR="00D10F88" w:rsidRPr="001522B0" w:rsidRDefault="00C85D4E" w:rsidP="00D10F88">
            <w:pPr>
              <w:spacing w:line="276" w:lineRule="auto"/>
              <w:rPr>
                <w:rFonts w:ascii="Century Gothic" w:eastAsia="Times New Roman" w:hAnsi="Century Gothic" w:cs="Aparajita"/>
                <w:iCs/>
                <w:color w:val="6E6E7C"/>
                <w:sz w:val="21"/>
                <w:szCs w:val="21"/>
                <w:lang w:eastAsia="es-EC"/>
              </w:rPr>
            </w:pPr>
            <w:r>
              <w:rPr>
                <w:rFonts w:ascii="Century Gothic" w:eastAsia="Times New Roman" w:hAnsi="Century Gothic" w:cs="Aparajita"/>
                <w:iCs/>
                <w:color w:val="6E6E7C"/>
                <w:sz w:val="21"/>
                <w:szCs w:val="21"/>
                <w:lang w:eastAsia="es-EC"/>
              </w:rPr>
              <w:t>REEM</w:t>
            </w:r>
            <w:r w:rsidR="00D10F88" w:rsidRPr="001522B0">
              <w:rPr>
                <w:rFonts w:ascii="Century Gothic" w:eastAsia="Times New Roman" w:hAnsi="Century Gothic" w:cs="Aparajita"/>
                <w:iCs/>
                <w:color w:val="6E6E7C"/>
                <w:sz w:val="21"/>
                <w:szCs w:val="21"/>
                <w:lang w:eastAsia="es-EC"/>
              </w:rPr>
              <w:t>:</w:t>
            </w:r>
          </w:p>
        </w:tc>
        <w:tc>
          <w:tcPr>
            <w:tcW w:w="1680" w:type="dxa"/>
            <w:shd w:val="clear" w:color="auto" w:fill="auto"/>
            <w:noWrap/>
            <w:vAlign w:val="center"/>
            <w:hideMark/>
          </w:tcPr>
          <w:p w14:paraId="54C60326"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4B73B8AC" w14:textId="77777777" w:rsidR="00D10F88" w:rsidRPr="001522B0" w:rsidRDefault="00C85D4E" w:rsidP="00D10F88">
            <w:pPr>
              <w:spacing w:line="276" w:lineRule="auto"/>
              <w:rPr>
                <w:rFonts w:ascii="Century Gothic" w:eastAsia="Times New Roman" w:hAnsi="Century Gothic" w:cs="Aparajita"/>
                <w:iCs/>
                <w:color w:val="6E6E7C"/>
                <w:sz w:val="21"/>
                <w:szCs w:val="21"/>
                <w:lang w:eastAsia="es-EC"/>
              </w:rPr>
            </w:pPr>
            <w:r w:rsidRPr="00C85D4E">
              <w:rPr>
                <w:rFonts w:ascii="Century Gothic" w:eastAsia="Times New Roman" w:hAnsi="Century Gothic" w:cs="Aparajita"/>
                <w:iCs/>
                <w:color w:val="6E6E7C"/>
                <w:sz w:val="21"/>
                <w:szCs w:val="21"/>
                <w:lang w:eastAsia="es-EC"/>
              </w:rPr>
              <w:t>Registro Estadístico de Empresas</w:t>
            </w:r>
          </w:p>
        </w:tc>
      </w:tr>
      <w:tr w:rsidR="00D10F88" w:rsidRPr="0089450F" w14:paraId="39718A41" w14:textId="77777777" w:rsidTr="002F6DA2">
        <w:trPr>
          <w:trHeight w:val="345"/>
        </w:trPr>
        <w:tc>
          <w:tcPr>
            <w:tcW w:w="1680" w:type="dxa"/>
            <w:shd w:val="clear" w:color="auto" w:fill="auto"/>
            <w:noWrap/>
            <w:vAlign w:val="center"/>
            <w:hideMark/>
          </w:tcPr>
          <w:p w14:paraId="29ABAD48"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DIRAD:</w:t>
            </w:r>
          </w:p>
        </w:tc>
        <w:tc>
          <w:tcPr>
            <w:tcW w:w="1680" w:type="dxa"/>
            <w:shd w:val="clear" w:color="auto" w:fill="auto"/>
            <w:noWrap/>
            <w:vAlign w:val="center"/>
            <w:hideMark/>
          </w:tcPr>
          <w:p w14:paraId="3A236C70"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7C03D0E3"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Dirección de Registros Administrativos</w:t>
            </w:r>
          </w:p>
        </w:tc>
      </w:tr>
      <w:tr w:rsidR="00D10F88" w:rsidRPr="0089450F" w14:paraId="126A8B04" w14:textId="77777777" w:rsidTr="002F6DA2">
        <w:trPr>
          <w:trHeight w:val="345"/>
        </w:trPr>
        <w:tc>
          <w:tcPr>
            <w:tcW w:w="1680" w:type="dxa"/>
            <w:shd w:val="clear" w:color="auto" w:fill="auto"/>
            <w:noWrap/>
            <w:vAlign w:val="center"/>
          </w:tcPr>
          <w:p w14:paraId="53D1A7C5"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DITIC</w:t>
            </w:r>
          </w:p>
        </w:tc>
        <w:tc>
          <w:tcPr>
            <w:tcW w:w="1680" w:type="dxa"/>
            <w:shd w:val="clear" w:color="auto" w:fill="auto"/>
            <w:noWrap/>
            <w:vAlign w:val="center"/>
          </w:tcPr>
          <w:p w14:paraId="2D1E0756"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tcPr>
          <w:p w14:paraId="740C2EC1"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Dirección de Tecnologías de la Información y Comunicación</w:t>
            </w:r>
          </w:p>
        </w:tc>
      </w:tr>
      <w:tr w:rsidR="00D10F88" w:rsidRPr="0089450F" w14:paraId="0DEBC613" w14:textId="77777777" w:rsidTr="002F6DA2">
        <w:trPr>
          <w:trHeight w:val="345"/>
        </w:trPr>
        <w:tc>
          <w:tcPr>
            <w:tcW w:w="1680" w:type="dxa"/>
            <w:shd w:val="clear" w:color="auto" w:fill="auto"/>
            <w:noWrap/>
            <w:vAlign w:val="center"/>
            <w:hideMark/>
          </w:tcPr>
          <w:p w14:paraId="1C63D752"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ENESEM:</w:t>
            </w:r>
          </w:p>
        </w:tc>
        <w:tc>
          <w:tcPr>
            <w:tcW w:w="1680" w:type="dxa"/>
            <w:shd w:val="clear" w:color="auto" w:fill="auto"/>
            <w:noWrap/>
            <w:vAlign w:val="center"/>
            <w:hideMark/>
          </w:tcPr>
          <w:p w14:paraId="3D48277A"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141F4020"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Encuesta Estructural Empresarial</w:t>
            </w:r>
          </w:p>
        </w:tc>
      </w:tr>
      <w:tr w:rsidR="00D10F88" w:rsidRPr="0089450F" w14:paraId="205D0651" w14:textId="77777777" w:rsidTr="002F6DA2">
        <w:trPr>
          <w:trHeight w:val="345"/>
        </w:trPr>
        <w:tc>
          <w:tcPr>
            <w:tcW w:w="1680" w:type="dxa"/>
            <w:shd w:val="clear" w:color="auto" w:fill="auto"/>
            <w:noWrap/>
            <w:vAlign w:val="center"/>
            <w:hideMark/>
          </w:tcPr>
          <w:p w14:paraId="291A6E17"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FMI:</w:t>
            </w:r>
          </w:p>
        </w:tc>
        <w:tc>
          <w:tcPr>
            <w:tcW w:w="1680" w:type="dxa"/>
            <w:shd w:val="clear" w:color="auto" w:fill="auto"/>
            <w:noWrap/>
            <w:vAlign w:val="center"/>
            <w:hideMark/>
          </w:tcPr>
          <w:p w14:paraId="75FE421E"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363B69F7"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 xml:space="preserve">Fondo Monetario Internacional </w:t>
            </w:r>
          </w:p>
        </w:tc>
      </w:tr>
      <w:tr w:rsidR="00D10F88" w:rsidRPr="0089450F" w14:paraId="0EF63659" w14:textId="77777777" w:rsidTr="002F6DA2">
        <w:trPr>
          <w:trHeight w:val="244"/>
        </w:trPr>
        <w:tc>
          <w:tcPr>
            <w:tcW w:w="1680" w:type="dxa"/>
            <w:shd w:val="clear" w:color="auto" w:fill="auto"/>
            <w:noWrap/>
            <w:vAlign w:val="center"/>
            <w:hideMark/>
          </w:tcPr>
          <w:p w14:paraId="2BC8263F"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INEC:</w:t>
            </w:r>
          </w:p>
        </w:tc>
        <w:tc>
          <w:tcPr>
            <w:tcW w:w="1680" w:type="dxa"/>
            <w:shd w:val="clear" w:color="auto" w:fill="auto"/>
            <w:noWrap/>
            <w:vAlign w:val="center"/>
            <w:hideMark/>
          </w:tcPr>
          <w:p w14:paraId="38700A0A"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3D3E0297"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Instituto Nacional de Estadística y Censos</w:t>
            </w:r>
          </w:p>
        </w:tc>
      </w:tr>
      <w:tr w:rsidR="00D10F88" w:rsidRPr="0089450F" w14:paraId="179B7424" w14:textId="77777777" w:rsidTr="002F6DA2">
        <w:trPr>
          <w:trHeight w:val="345"/>
        </w:trPr>
        <w:tc>
          <w:tcPr>
            <w:tcW w:w="1680" w:type="dxa"/>
            <w:shd w:val="clear" w:color="auto" w:fill="auto"/>
            <w:noWrap/>
            <w:vAlign w:val="center"/>
            <w:hideMark/>
          </w:tcPr>
          <w:p w14:paraId="168F9F7E"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NNUU:</w:t>
            </w:r>
          </w:p>
        </w:tc>
        <w:tc>
          <w:tcPr>
            <w:tcW w:w="1680" w:type="dxa"/>
            <w:shd w:val="clear" w:color="auto" w:fill="auto"/>
            <w:noWrap/>
            <w:vAlign w:val="center"/>
            <w:hideMark/>
          </w:tcPr>
          <w:p w14:paraId="1EE6703B"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096C378B"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 xml:space="preserve">Naciones Unidas </w:t>
            </w:r>
          </w:p>
        </w:tc>
      </w:tr>
      <w:tr w:rsidR="00D10F88" w:rsidRPr="0089450F" w14:paraId="0B35D813" w14:textId="77777777" w:rsidTr="002F6DA2">
        <w:trPr>
          <w:trHeight w:val="366"/>
        </w:trPr>
        <w:tc>
          <w:tcPr>
            <w:tcW w:w="1680" w:type="dxa"/>
            <w:shd w:val="clear" w:color="auto" w:fill="auto"/>
            <w:noWrap/>
            <w:vAlign w:val="center"/>
            <w:hideMark/>
          </w:tcPr>
          <w:p w14:paraId="41C335BC"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OCDE:</w:t>
            </w:r>
          </w:p>
        </w:tc>
        <w:tc>
          <w:tcPr>
            <w:tcW w:w="1680" w:type="dxa"/>
            <w:shd w:val="clear" w:color="auto" w:fill="auto"/>
            <w:noWrap/>
            <w:vAlign w:val="center"/>
            <w:hideMark/>
          </w:tcPr>
          <w:p w14:paraId="78F15106"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5CBE4A50"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 xml:space="preserve">Organización para la Cooperación y el Desarrollo Económico </w:t>
            </w:r>
          </w:p>
        </w:tc>
      </w:tr>
      <w:tr w:rsidR="00D10F88" w:rsidRPr="0089450F" w14:paraId="62532DCA" w14:textId="77777777" w:rsidTr="002F6DA2">
        <w:trPr>
          <w:trHeight w:val="345"/>
        </w:trPr>
        <w:tc>
          <w:tcPr>
            <w:tcW w:w="1680" w:type="dxa"/>
            <w:shd w:val="clear" w:color="auto" w:fill="auto"/>
            <w:noWrap/>
            <w:vAlign w:val="center"/>
            <w:hideMark/>
          </w:tcPr>
          <w:p w14:paraId="2BAF11CB"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ODS:</w:t>
            </w:r>
          </w:p>
        </w:tc>
        <w:tc>
          <w:tcPr>
            <w:tcW w:w="1680" w:type="dxa"/>
            <w:shd w:val="clear" w:color="auto" w:fill="auto"/>
            <w:noWrap/>
            <w:vAlign w:val="center"/>
            <w:hideMark/>
          </w:tcPr>
          <w:p w14:paraId="764A57C2"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1D15A477"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Objetivos de Desarrollo Sostenible</w:t>
            </w:r>
          </w:p>
        </w:tc>
      </w:tr>
      <w:tr w:rsidR="00D10F88" w:rsidRPr="0089450F" w14:paraId="271B619A" w14:textId="77777777" w:rsidTr="002F6DA2">
        <w:trPr>
          <w:trHeight w:val="224"/>
        </w:trPr>
        <w:tc>
          <w:tcPr>
            <w:tcW w:w="1680" w:type="dxa"/>
            <w:shd w:val="clear" w:color="auto" w:fill="auto"/>
            <w:noWrap/>
            <w:vAlign w:val="center"/>
            <w:hideMark/>
          </w:tcPr>
          <w:p w14:paraId="2C107FF1"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PIB:</w:t>
            </w:r>
          </w:p>
        </w:tc>
        <w:tc>
          <w:tcPr>
            <w:tcW w:w="1680" w:type="dxa"/>
            <w:shd w:val="clear" w:color="auto" w:fill="auto"/>
            <w:noWrap/>
            <w:vAlign w:val="center"/>
            <w:hideMark/>
          </w:tcPr>
          <w:p w14:paraId="10090710"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4560A15E"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Producto Interno Bruto</w:t>
            </w:r>
          </w:p>
        </w:tc>
      </w:tr>
      <w:tr w:rsidR="00D10F88" w:rsidRPr="0089450F" w14:paraId="7D323428" w14:textId="77777777" w:rsidTr="002F6DA2">
        <w:trPr>
          <w:trHeight w:val="345"/>
        </w:trPr>
        <w:tc>
          <w:tcPr>
            <w:tcW w:w="1680" w:type="dxa"/>
            <w:shd w:val="clear" w:color="auto" w:fill="auto"/>
            <w:noWrap/>
            <w:vAlign w:val="center"/>
            <w:hideMark/>
          </w:tcPr>
          <w:p w14:paraId="607C0B3D"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RUC:</w:t>
            </w:r>
          </w:p>
        </w:tc>
        <w:tc>
          <w:tcPr>
            <w:tcW w:w="1680" w:type="dxa"/>
            <w:shd w:val="clear" w:color="auto" w:fill="auto"/>
            <w:noWrap/>
            <w:vAlign w:val="center"/>
            <w:hideMark/>
          </w:tcPr>
          <w:p w14:paraId="11C80924"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421365B9" w14:textId="77777777" w:rsidR="00D10F88" w:rsidRPr="001522B0" w:rsidRDefault="00D10F88" w:rsidP="00D10F88">
            <w:pPr>
              <w:spacing w:line="276" w:lineRule="auto"/>
              <w:jc w:val="both"/>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Registro Único de Contribuyentes</w:t>
            </w:r>
          </w:p>
        </w:tc>
      </w:tr>
      <w:tr w:rsidR="00D10F88" w:rsidRPr="0089450F" w14:paraId="16992A34" w14:textId="77777777" w:rsidTr="002F6DA2">
        <w:trPr>
          <w:trHeight w:val="345"/>
        </w:trPr>
        <w:tc>
          <w:tcPr>
            <w:tcW w:w="1680" w:type="dxa"/>
            <w:shd w:val="clear" w:color="auto" w:fill="auto"/>
            <w:noWrap/>
            <w:vAlign w:val="center"/>
            <w:hideMark/>
          </w:tcPr>
          <w:p w14:paraId="0A07ED74"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SCN:</w:t>
            </w:r>
          </w:p>
        </w:tc>
        <w:tc>
          <w:tcPr>
            <w:tcW w:w="1680" w:type="dxa"/>
            <w:shd w:val="clear" w:color="auto" w:fill="auto"/>
            <w:noWrap/>
            <w:vAlign w:val="center"/>
            <w:hideMark/>
          </w:tcPr>
          <w:p w14:paraId="6D2D259F"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78094496"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eastAsia="es-EC"/>
              </w:rPr>
              <w:t>Sistema de Cuentas Nacionales 2008</w:t>
            </w:r>
          </w:p>
        </w:tc>
      </w:tr>
      <w:tr w:rsidR="00D10F88" w:rsidRPr="00AC73AF" w14:paraId="0A06E216" w14:textId="77777777" w:rsidTr="002F6DA2">
        <w:trPr>
          <w:trHeight w:val="345"/>
        </w:trPr>
        <w:tc>
          <w:tcPr>
            <w:tcW w:w="1680" w:type="dxa"/>
            <w:shd w:val="clear" w:color="auto" w:fill="auto"/>
            <w:noWrap/>
            <w:vAlign w:val="center"/>
            <w:hideMark/>
          </w:tcPr>
          <w:p w14:paraId="0CF4BC2C"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r w:rsidRPr="001522B0">
              <w:rPr>
                <w:rFonts w:ascii="Century Gothic" w:eastAsia="Times New Roman" w:hAnsi="Century Gothic" w:cs="Aparajita"/>
                <w:iCs/>
                <w:color w:val="6E6E7C"/>
                <w:sz w:val="21"/>
                <w:szCs w:val="21"/>
                <w:lang w:val="en-US" w:eastAsia="es-EC"/>
              </w:rPr>
              <w:t>SPSS:</w:t>
            </w:r>
          </w:p>
        </w:tc>
        <w:tc>
          <w:tcPr>
            <w:tcW w:w="1680" w:type="dxa"/>
            <w:shd w:val="clear" w:color="auto" w:fill="auto"/>
            <w:noWrap/>
            <w:vAlign w:val="center"/>
            <w:hideMark/>
          </w:tcPr>
          <w:p w14:paraId="23E3AF11" w14:textId="77777777" w:rsidR="00D10F88" w:rsidRPr="001522B0" w:rsidRDefault="00D10F88" w:rsidP="00D10F88">
            <w:pPr>
              <w:spacing w:line="276" w:lineRule="auto"/>
              <w:rPr>
                <w:rFonts w:ascii="Century Gothic" w:eastAsia="Times New Roman" w:hAnsi="Century Gothic" w:cs="Aparajita"/>
                <w:iCs/>
                <w:color w:val="6E6E7C"/>
                <w:sz w:val="21"/>
                <w:szCs w:val="21"/>
                <w:lang w:eastAsia="es-EC"/>
              </w:rPr>
            </w:pPr>
          </w:p>
        </w:tc>
        <w:tc>
          <w:tcPr>
            <w:tcW w:w="6083" w:type="dxa"/>
            <w:shd w:val="clear" w:color="auto" w:fill="auto"/>
            <w:vAlign w:val="center"/>
            <w:hideMark/>
          </w:tcPr>
          <w:p w14:paraId="70BFD2CC" w14:textId="77777777" w:rsidR="00D10F88" w:rsidRPr="001522B0" w:rsidRDefault="00D10F88" w:rsidP="00D10F88">
            <w:pPr>
              <w:spacing w:line="276" w:lineRule="auto"/>
              <w:rPr>
                <w:rFonts w:ascii="Century Gothic" w:eastAsia="Times New Roman" w:hAnsi="Century Gothic" w:cs="Aparajita"/>
                <w:iCs/>
                <w:color w:val="6E6E7C"/>
                <w:sz w:val="21"/>
                <w:szCs w:val="21"/>
                <w:lang w:val="en-US" w:eastAsia="es-EC"/>
              </w:rPr>
            </w:pPr>
            <w:r w:rsidRPr="001522B0">
              <w:rPr>
                <w:rFonts w:ascii="Century Gothic" w:eastAsia="Times New Roman" w:hAnsi="Century Gothic" w:cs="Aparajita"/>
                <w:iCs/>
                <w:color w:val="6E6E7C"/>
                <w:sz w:val="21"/>
                <w:szCs w:val="21"/>
                <w:lang w:val="en-US" w:eastAsia="es-EC"/>
              </w:rPr>
              <w:t>Statistical Package for the Social Sciences</w:t>
            </w:r>
          </w:p>
        </w:tc>
      </w:tr>
    </w:tbl>
    <w:p w14:paraId="451C10C7" w14:textId="77777777" w:rsidR="00E0586D" w:rsidRPr="0089450F" w:rsidRDefault="00436D5C" w:rsidP="00D10F88">
      <w:pPr>
        <w:rPr>
          <w:rFonts w:ascii="Century Gothic" w:hAnsi="Century Gothic"/>
          <w:lang w:val="en-US"/>
        </w:rPr>
      </w:pPr>
      <w:r w:rsidRPr="0089450F">
        <w:rPr>
          <w:rFonts w:ascii="Century Gothic" w:hAnsi="Century Gothic"/>
          <w:lang w:val="en-US"/>
        </w:rPr>
        <w:br w:type="page"/>
      </w:r>
    </w:p>
    <w:p w14:paraId="60BC7144" w14:textId="77777777" w:rsidR="00E0586D" w:rsidRPr="0089450F" w:rsidRDefault="00E0586D" w:rsidP="00CE6225">
      <w:pPr>
        <w:pStyle w:val="Ttulo3"/>
        <w:ind w:left="567" w:hanging="207"/>
        <w:jc w:val="center"/>
        <w:rPr>
          <w:color w:val="595959" w:themeColor="text1" w:themeTint="A6"/>
          <w:sz w:val="40"/>
        </w:rPr>
      </w:pPr>
      <w:bookmarkStart w:id="15" w:name="_Toc134781805"/>
      <w:bookmarkStart w:id="16" w:name="_Toc155793848"/>
      <w:bookmarkStart w:id="17" w:name="_Toc161322532"/>
      <w:r w:rsidRPr="0089450F">
        <w:rPr>
          <w:color w:val="595959" w:themeColor="text1" w:themeTint="A6"/>
          <w:sz w:val="40"/>
        </w:rPr>
        <w:lastRenderedPageBreak/>
        <w:t>Ficha técnica</w:t>
      </w:r>
      <w:bookmarkEnd w:id="15"/>
      <w:bookmarkEnd w:id="16"/>
      <w:bookmarkEnd w:id="17"/>
    </w:p>
    <w:p w14:paraId="385228C7" w14:textId="77777777" w:rsidR="00E0586D" w:rsidRPr="0089450F" w:rsidRDefault="00E0586D" w:rsidP="00E0586D">
      <w:pPr>
        <w:pStyle w:val="Descripcin"/>
        <w:jc w:val="center"/>
        <w:rPr>
          <w:rFonts w:ascii="Century Gothic" w:hAnsi="Century Gothic"/>
          <w:b w:val="0"/>
          <w:bCs w:val="0"/>
          <w:color w:val="595959" w:themeColor="text1" w:themeTint="A6"/>
        </w:rPr>
      </w:pPr>
      <w:bookmarkStart w:id="18" w:name="_Toc157006139"/>
      <w:bookmarkStart w:id="19" w:name="_Toc157006962"/>
      <w:bookmarkStart w:id="20" w:name="_Toc157368478"/>
      <w:bookmarkStart w:id="21" w:name="_Toc157585774"/>
      <w:bookmarkStart w:id="22" w:name="_Toc157671111"/>
      <w:bookmarkStart w:id="23" w:name="_Toc158206877"/>
      <w:bookmarkStart w:id="24" w:name="_Toc161322595"/>
      <w:r w:rsidRPr="0089450F">
        <w:rPr>
          <w:rFonts w:ascii="Century Gothic" w:hAnsi="Century Gothic"/>
          <w:color w:val="595959" w:themeColor="text1" w:themeTint="A6"/>
        </w:rPr>
        <w:t xml:space="preserve">Tabla </w:t>
      </w:r>
      <w:r w:rsidRPr="0089450F">
        <w:rPr>
          <w:rFonts w:ascii="Century Gothic" w:hAnsi="Century Gothic"/>
          <w:color w:val="595959" w:themeColor="text1" w:themeTint="A6"/>
        </w:rPr>
        <w:fldChar w:fldCharType="begin"/>
      </w:r>
      <w:r w:rsidRPr="0089450F">
        <w:rPr>
          <w:rFonts w:ascii="Century Gothic" w:hAnsi="Century Gothic"/>
          <w:color w:val="595959" w:themeColor="text1" w:themeTint="A6"/>
        </w:rPr>
        <w:instrText xml:space="preserve"> SEQ Tabla \* ARABIC </w:instrText>
      </w:r>
      <w:r w:rsidRPr="0089450F">
        <w:rPr>
          <w:rFonts w:ascii="Century Gothic" w:hAnsi="Century Gothic"/>
          <w:color w:val="595959" w:themeColor="text1" w:themeTint="A6"/>
        </w:rPr>
        <w:fldChar w:fldCharType="separate"/>
      </w:r>
      <w:r w:rsidR="00CF3585">
        <w:rPr>
          <w:rFonts w:ascii="Century Gothic" w:hAnsi="Century Gothic"/>
          <w:noProof/>
          <w:color w:val="595959" w:themeColor="text1" w:themeTint="A6"/>
        </w:rPr>
        <w:t>1</w:t>
      </w:r>
      <w:r w:rsidRPr="0089450F">
        <w:rPr>
          <w:rFonts w:ascii="Century Gothic" w:hAnsi="Century Gothic"/>
          <w:color w:val="595959" w:themeColor="text1" w:themeTint="A6"/>
        </w:rPr>
        <w:fldChar w:fldCharType="end"/>
      </w:r>
      <w:r w:rsidRPr="0089450F">
        <w:rPr>
          <w:rFonts w:ascii="Century Gothic" w:hAnsi="Century Gothic"/>
          <w:color w:val="595959" w:themeColor="text1" w:themeTint="A6"/>
        </w:rPr>
        <w:t>.</w:t>
      </w:r>
      <w:r w:rsidRPr="0089450F">
        <w:rPr>
          <w:rFonts w:ascii="Century Gothic" w:hAnsi="Century Gothic"/>
          <w:b w:val="0"/>
          <w:bCs w:val="0"/>
          <w:color w:val="595959" w:themeColor="text1" w:themeTint="A6"/>
        </w:rPr>
        <w:t xml:space="preserve"> Ficha técnica de la operación estadística</w:t>
      </w:r>
      <w:bookmarkEnd w:id="18"/>
      <w:bookmarkEnd w:id="19"/>
      <w:bookmarkEnd w:id="20"/>
      <w:bookmarkEnd w:id="21"/>
      <w:bookmarkEnd w:id="22"/>
      <w:bookmarkEnd w:id="23"/>
      <w:bookmarkEnd w:id="24"/>
    </w:p>
    <w:tbl>
      <w:tblPr>
        <w:tblStyle w:val="Tablaconcuadrcula"/>
        <w:tblW w:w="8837" w:type="dxa"/>
        <w:tblLook w:val="04A0" w:firstRow="1" w:lastRow="0" w:firstColumn="1" w:lastColumn="0" w:noHBand="0" w:noVBand="1"/>
      </w:tblPr>
      <w:tblGrid>
        <w:gridCol w:w="3410"/>
        <w:gridCol w:w="5427"/>
      </w:tblGrid>
      <w:tr w:rsidR="00E0586D" w:rsidRPr="0089450F" w14:paraId="744D57F3" w14:textId="77777777" w:rsidTr="00460317">
        <w:trPr>
          <w:trHeight w:val="611"/>
        </w:trPr>
        <w:tc>
          <w:tcPr>
            <w:tcW w:w="3410" w:type="dxa"/>
            <w:shd w:val="clear" w:color="auto" w:fill="4266CE"/>
            <w:vAlign w:val="center"/>
          </w:tcPr>
          <w:p w14:paraId="42F3236C" w14:textId="77777777" w:rsidR="00E0586D" w:rsidRPr="001522B0" w:rsidRDefault="00E0586D" w:rsidP="00E0586D">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 xml:space="preserve">Nombre de la operación estadística </w:t>
            </w:r>
          </w:p>
        </w:tc>
        <w:tc>
          <w:tcPr>
            <w:tcW w:w="5427" w:type="dxa"/>
            <w:vAlign w:val="center"/>
          </w:tcPr>
          <w:p w14:paraId="04A2CADE"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Encuesta Estructural Empresarial</w:t>
            </w:r>
          </w:p>
        </w:tc>
      </w:tr>
      <w:tr w:rsidR="00E0586D" w:rsidRPr="0089450F" w14:paraId="72D6C836" w14:textId="77777777" w:rsidTr="00460317">
        <w:trPr>
          <w:trHeight w:val="519"/>
        </w:trPr>
        <w:tc>
          <w:tcPr>
            <w:tcW w:w="3410" w:type="dxa"/>
            <w:shd w:val="clear" w:color="auto" w:fill="4266CE"/>
            <w:vAlign w:val="center"/>
          </w:tcPr>
          <w:p w14:paraId="5633F30C" w14:textId="77777777" w:rsidR="00E0586D" w:rsidRPr="001522B0" w:rsidRDefault="00E0586D" w:rsidP="00E0586D">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Institución responsable</w:t>
            </w:r>
          </w:p>
        </w:tc>
        <w:tc>
          <w:tcPr>
            <w:tcW w:w="5427" w:type="dxa"/>
            <w:vAlign w:val="center"/>
          </w:tcPr>
          <w:p w14:paraId="21FFF13F"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Instituto Nacional de Estadística y Censos</w:t>
            </w:r>
          </w:p>
        </w:tc>
      </w:tr>
      <w:tr w:rsidR="00E0586D" w:rsidRPr="0089450F" w14:paraId="4884C821" w14:textId="77777777" w:rsidTr="00460317">
        <w:trPr>
          <w:trHeight w:val="542"/>
        </w:trPr>
        <w:tc>
          <w:tcPr>
            <w:tcW w:w="3410" w:type="dxa"/>
            <w:shd w:val="clear" w:color="auto" w:fill="4266CE"/>
            <w:vAlign w:val="center"/>
          </w:tcPr>
          <w:p w14:paraId="34CBC703" w14:textId="77777777" w:rsidR="00E0586D" w:rsidRPr="001522B0" w:rsidRDefault="00E0586D" w:rsidP="00E0586D">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 xml:space="preserve">Tipo de operación estadística </w:t>
            </w:r>
          </w:p>
        </w:tc>
        <w:tc>
          <w:tcPr>
            <w:tcW w:w="5427" w:type="dxa"/>
            <w:vAlign w:val="center"/>
          </w:tcPr>
          <w:p w14:paraId="089EA0A0"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Encuesta</w:t>
            </w:r>
          </w:p>
        </w:tc>
      </w:tr>
      <w:tr w:rsidR="00E0586D" w:rsidRPr="0089450F" w14:paraId="3ACE5068" w14:textId="77777777" w:rsidTr="00460317">
        <w:trPr>
          <w:trHeight w:val="843"/>
        </w:trPr>
        <w:tc>
          <w:tcPr>
            <w:tcW w:w="3410" w:type="dxa"/>
            <w:shd w:val="clear" w:color="auto" w:fill="4266CE"/>
            <w:vAlign w:val="center"/>
          </w:tcPr>
          <w:p w14:paraId="28FE880F" w14:textId="77777777" w:rsidR="00E0586D" w:rsidRPr="001522B0" w:rsidRDefault="00E0586D" w:rsidP="00E0586D">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Cobertura temática</w:t>
            </w:r>
          </w:p>
        </w:tc>
        <w:tc>
          <w:tcPr>
            <w:tcW w:w="5427" w:type="dxa"/>
            <w:vAlign w:val="center"/>
          </w:tcPr>
          <w:p w14:paraId="47B67AC5"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Operación estadística empresarial</w:t>
            </w:r>
          </w:p>
          <w:p w14:paraId="3E90B0CE"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Dominio: 2. Estadísticas Económicas</w:t>
            </w:r>
          </w:p>
          <w:p w14:paraId="4FDBB57D" w14:textId="77777777" w:rsidR="00E0586D"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Tema: 2.3. Estadísticas de empresas</w:t>
            </w:r>
          </w:p>
        </w:tc>
      </w:tr>
      <w:tr w:rsidR="00E0586D" w:rsidRPr="0089450F" w14:paraId="45167B09" w14:textId="77777777" w:rsidTr="00460317">
        <w:trPr>
          <w:trHeight w:val="969"/>
        </w:trPr>
        <w:tc>
          <w:tcPr>
            <w:tcW w:w="3410" w:type="dxa"/>
            <w:shd w:val="clear" w:color="auto" w:fill="4266CE"/>
            <w:vAlign w:val="center"/>
          </w:tcPr>
          <w:p w14:paraId="17EF7103" w14:textId="77777777" w:rsidR="00E0586D" w:rsidRPr="001522B0" w:rsidRDefault="00E0586D" w:rsidP="00E0586D">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Universo de estudio</w:t>
            </w:r>
          </w:p>
        </w:tc>
        <w:tc>
          <w:tcPr>
            <w:tcW w:w="5427" w:type="dxa"/>
            <w:vAlign w:val="center"/>
          </w:tcPr>
          <w:p w14:paraId="57CF41A7" w14:textId="77777777" w:rsidR="00E0586D"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 xml:space="preserve">Las empresas de tamaño grande, </w:t>
            </w:r>
            <w:proofErr w:type="gramStart"/>
            <w:r w:rsidRPr="001522B0">
              <w:rPr>
                <w:rFonts w:ascii="Century Gothic" w:hAnsi="Century Gothic"/>
                <w:color w:val="595959" w:themeColor="text1" w:themeTint="A6"/>
                <w:sz w:val="18"/>
                <w:szCs w:val="18"/>
              </w:rPr>
              <w:t>mediana</w:t>
            </w:r>
            <w:proofErr w:type="gramEnd"/>
            <w:r w:rsidRPr="001522B0">
              <w:rPr>
                <w:rFonts w:ascii="Century Gothic" w:hAnsi="Century Gothic"/>
                <w:color w:val="595959" w:themeColor="text1" w:themeTint="A6"/>
                <w:sz w:val="18"/>
                <w:szCs w:val="18"/>
              </w:rPr>
              <w:t xml:space="preserve"> A y mediana B que cumplen con los criterios de clasificación de cobertura temática para el año 2021.</w:t>
            </w:r>
          </w:p>
        </w:tc>
      </w:tr>
      <w:tr w:rsidR="00E0586D" w:rsidRPr="0089450F" w14:paraId="5286FE71" w14:textId="77777777" w:rsidTr="00460317">
        <w:trPr>
          <w:trHeight w:val="1099"/>
        </w:trPr>
        <w:tc>
          <w:tcPr>
            <w:tcW w:w="3410" w:type="dxa"/>
            <w:shd w:val="clear" w:color="auto" w:fill="4266CE"/>
            <w:vAlign w:val="center"/>
          </w:tcPr>
          <w:p w14:paraId="0A7ADA2B" w14:textId="77777777" w:rsidR="00E0586D" w:rsidRPr="001522B0" w:rsidRDefault="00E0586D" w:rsidP="00E0586D">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Población objetivo</w:t>
            </w:r>
          </w:p>
        </w:tc>
        <w:tc>
          <w:tcPr>
            <w:tcW w:w="5427" w:type="dxa"/>
            <w:vAlign w:val="center"/>
          </w:tcPr>
          <w:p w14:paraId="26106B8E" w14:textId="77777777" w:rsidR="00342883" w:rsidRDefault="00342883" w:rsidP="00342883">
            <w:pPr>
              <w:rPr>
                <w:rFonts w:ascii="Century Gothic" w:hAnsi="Century Gothic"/>
                <w:color w:val="595959" w:themeColor="text1" w:themeTint="A6"/>
                <w:sz w:val="18"/>
                <w:szCs w:val="18"/>
              </w:rPr>
            </w:pPr>
            <w:r>
              <w:rPr>
                <w:rFonts w:ascii="Century Gothic" w:hAnsi="Century Gothic"/>
                <w:color w:val="595959" w:themeColor="text1" w:themeTint="A6"/>
                <w:sz w:val="18"/>
                <w:szCs w:val="18"/>
              </w:rPr>
              <w:t>Empresas que pertenecen a las categorías descritas en la cobertura temática</w:t>
            </w:r>
          </w:p>
          <w:p w14:paraId="5EFAE872" w14:textId="77777777" w:rsidR="00E0586D" w:rsidRDefault="00342883" w:rsidP="00E5524A">
            <w:pPr>
              <w:pStyle w:val="Prrafodelista"/>
              <w:numPr>
                <w:ilvl w:val="0"/>
                <w:numId w:val="37"/>
              </w:numPr>
              <w:ind w:left="445" w:hanging="141"/>
              <w:rPr>
                <w:rFonts w:ascii="Century Gothic" w:hAnsi="Century Gothic"/>
                <w:color w:val="595959" w:themeColor="text1" w:themeTint="A6"/>
                <w:sz w:val="18"/>
                <w:szCs w:val="18"/>
              </w:rPr>
            </w:pPr>
            <w:r>
              <w:rPr>
                <w:rFonts w:ascii="Century Gothic" w:hAnsi="Century Gothic"/>
                <w:color w:val="595959" w:themeColor="text1" w:themeTint="A6"/>
                <w:sz w:val="18"/>
                <w:szCs w:val="18"/>
              </w:rPr>
              <w:t>E</w:t>
            </w:r>
            <w:r w:rsidRPr="00342883">
              <w:rPr>
                <w:rFonts w:ascii="Century Gothic" w:hAnsi="Century Gothic"/>
                <w:color w:val="595959" w:themeColor="text1" w:themeTint="A6"/>
                <w:sz w:val="18"/>
                <w:szCs w:val="18"/>
              </w:rPr>
              <w:t>mpresas a investigar pertenecen a las siguientes ramas: B, C, D, E, F, G, H, I, J, K, L, M, N, P, Q, R, S</w:t>
            </w:r>
            <w:r>
              <w:rPr>
                <w:rFonts w:ascii="Century Gothic" w:hAnsi="Century Gothic"/>
                <w:color w:val="595959" w:themeColor="text1" w:themeTint="A6"/>
                <w:sz w:val="18"/>
                <w:szCs w:val="18"/>
              </w:rPr>
              <w:t>.</w:t>
            </w:r>
          </w:p>
          <w:p w14:paraId="5AB450A7" w14:textId="77777777" w:rsidR="00342883" w:rsidRPr="00342883" w:rsidRDefault="00342883" w:rsidP="00E5524A">
            <w:pPr>
              <w:pStyle w:val="Prrafodelista"/>
              <w:numPr>
                <w:ilvl w:val="0"/>
                <w:numId w:val="37"/>
              </w:numPr>
              <w:ind w:left="445" w:hanging="141"/>
              <w:rPr>
                <w:rFonts w:ascii="Century Gothic" w:hAnsi="Century Gothic"/>
                <w:color w:val="595959" w:themeColor="text1" w:themeTint="A6"/>
                <w:sz w:val="18"/>
                <w:szCs w:val="18"/>
              </w:rPr>
            </w:pPr>
            <w:r>
              <w:rPr>
                <w:rFonts w:ascii="Century Gothic" w:hAnsi="Century Gothic"/>
                <w:color w:val="595959" w:themeColor="text1" w:themeTint="A6"/>
                <w:sz w:val="18"/>
                <w:szCs w:val="18"/>
              </w:rPr>
              <w:t>Empresas de tamaño mediana A, B o grandes.</w:t>
            </w:r>
          </w:p>
        </w:tc>
      </w:tr>
      <w:tr w:rsidR="00E0586D" w:rsidRPr="006C1B07" w14:paraId="174DC3DB" w14:textId="77777777" w:rsidTr="00460317">
        <w:trPr>
          <w:trHeight w:val="703"/>
        </w:trPr>
        <w:tc>
          <w:tcPr>
            <w:tcW w:w="3410" w:type="dxa"/>
            <w:shd w:val="clear" w:color="auto" w:fill="4266CE"/>
            <w:vAlign w:val="center"/>
          </w:tcPr>
          <w:p w14:paraId="1FDC24D9" w14:textId="77777777" w:rsidR="00E0586D" w:rsidRPr="001522B0" w:rsidRDefault="00E0586D" w:rsidP="00E0586D">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Unidad de observación</w:t>
            </w:r>
          </w:p>
        </w:tc>
        <w:tc>
          <w:tcPr>
            <w:tcW w:w="5427" w:type="dxa"/>
            <w:vAlign w:val="center"/>
          </w:tcPr>
          <w:p w14:paraId="5B7E4C9B" w14:textId="77777777" w:rsidR="00E0586D"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Empresas que pertenecen a las categorías descritas en la cobertura temática para el año 2021.</w:t>
            </w:r>
          </w:p>
        </w:tc>
      </w:tr>
      <w:tr w:rsidR="00D10F88" w:rsidRPr="0089450F" w14:paraId="5707C1AB" w14:textId="77777777" w:rsidTr="00460317">
        <w:trPr>
          <w:trHeight w:val="863"/>
        </w:trPr>
        <w:tc>
          <w:tcPr>
            <w:tcW w:w="3410" w:type="dxa"/>
            <w:shd w:val="clear" w:color="auto" w:fill="4266CE"/>
            <w:vAlign w:val="center"/>
          </w:tcPr>
          <w:p w14:paraId="1D5F7177"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Unidad de análisis</w:t>
            </w:r>
          </w:p>
        </w:tc>
        <w:tc>
          <w:tcPr>
            <w:tcW w:w="5427" w:type="dxa"/>
            <w:vAlign w:val="center"/>
          </w:tcPr>
          <w:p w14:paraId="7190B1F4"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 xml:space="preserve">Las empresas de tamaño grande, </w:t>
            </w:r>
            <w:proofErr w:type="gramStart"/>
            <w:r w:rsidRPr="001522B0">
              <w:rPr>
                <w:rFonts w:ascii="Century Gothic" w:hAnsi="Century Gothic"/>
                <w:color w:val="595959" w:themeColor="text1" w:themeTint="A6"/>
                <w:sz w:val="18"/>
                <w:szCs w:val="18"/>
              </w:rPr>
              <w:t>mediana</w:t>
            </w:r>
            <w:proofErr w:type="gramEnd"/>
            <w:r w:rsidRPr="001522B0">
              <w:rPr>
                <w:rFonts w:ascii="Century Gothic" w:hAnsi="Century Gothic"/>
                <w:color w:val="595959" w:themeColor="text1" w:themeTint="A6"/>
                <w:sz w:val="18"/>
                <w:szCs w:val="18"/>
              </w:rPr>
              <w:t xml:space="preserve"> A y mediana B que cumplen con los criterios de clasificación de cobertura temática para el año 2021.</w:t>
            </w:r>
          </w:p>
        </w:tc>
      </w:tr>
      <w:tr w:rsidR="00D10F88" w:rsidRPr="0089450F" w14:paraId="3DDDEE78" w14:textId="77777777" w:rsidTr="00460317">
        <w:trPr>
          <w:trHeight w:val="729"/>
        </w:trPr>
        <w:tc>
          <w:tcPr>
            <w:tcW w:w="3410" w:type="dxa"/>
            <w:shd w:val="clear" w:color="auto" w:fill="4266CE"/>
            <w:vAlign w:val="center"/>
          </w:tcPr>
          <w:p w14:paraId="5F9DA9D7"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Cobertura geográfica</w:t>
            </w:r>
          </w:p>
        </w:tc>
        <w:tc>
          <w:tcPr>
            <w:tcW w:w="5427" w:type="dxa"/>
            <w:vAlign w:val="center"/>
          </w:tcPr>
          <w:p w14:paraId="3E898C73"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Empresas que se encuentren ubicadas dentro del territorio ecuatoriano incluyendo la región Insular.</w:t>
            </w:r>
          </w:p>
        </w:tc>
      </w:tr>
      <w:tr w:rsidR="00D10F88" w:rsidRPr="0089450F" w14:paraId="72FB3B2B" w14:textId="77777777" w:rsidTr="00460317">
        <w:trPr>
          <w:trHeight w:val="694"/>
        </w:trPr>
        <w:tc>
          <w:tcPr>
            <w:tcW w:w="3410" w:type="dxa"/>
            <w:shd w:val="clear" w:color="auto" w:fill="4266CE"/>
            <w:vAlign w:val="center"/>
          </w:tcPr>
          <w:p w14:paraId="06125181"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Nivel de desagregación territorial</w:t>
            </w:r>
          </w:p>
        </w:tc>
        <w:tc>
          <w:tcPr>
            <w:tcW w:w="5427" w:type="dxa"/>
            <w:vAlign w:val="center"/>
          </w:tcPr>
          <w:p w14:paraId="07CD8886"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Nacional, regional y provincial.</w:t>
            </w:r>
          </w:p>
        </w:tc>
      </w:tr>
      <w:tr w:rsidR="00D10F88" w:rsidRPr="0089450F" w14:paraId="48815A0F" w14:textId="77777777" w:rsidTr="00460317">
        <w:trPr>
          <w:trHeight w:val="815"/>
        </w:trPr>
        <w:tc>
          <w:tcPr>
            <w:tcW w:w="3410" w:type="dxa"/>
            <w:shd w:val="clear" w:color="auto" w:fill="4266CE"/>
            <w:vAlign w:val="center"/>
          </w:tcPr>
          <w:p w14:paraId="2B19CD32"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Desagregación de la información</w:t>
            </w:r>
          </w:p>
        </w:tc>
        <w:tc>
          <w:tcPr>
            <w:tcW w:w="5427" w:type="dxa"/>
            <w:vAlign w:val="center"/>
          </w:tcPr>
          <w:p w14:paraId="17E1B249"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Nacional, provincial, tamaño de empresa, secciones de actividad económica.</w:t>
            </w:r>
          </w:p>
        </w:tc>
      </w:tr>
      <w:tr w:rsidR="00D10F88" w:rsidRPr="0089450F" w14:paraId="3CFA8204" w14:textId="77777777" w:rsidTr="00460317">
        <w:trPr>
          <w:trHeight w:val="460"/>
        </w:trPr>
        <w:tc>
          <w:tcPr>
            <w:tcW w:w="3410" w:type="dxa"/>
            <w:shd w:val="clear" w:color="auto" w:fill="4266CE"/>
            <w:vAlign w:val="center"/>
          </w:tcPr>
          <w:p w14:paraId="2568CC7D"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Principales variables</w:t>
            </w:r>
          </w:p>
        </w:tc>
        <w:tc>
          <w:tcPr>
            <w:tcW w:w="5427" w:type="dxa"/>
            <w:vAlign w:val="center"/>
          </w:tcPr>
          <w:p w14:paraId="4079A57C" w14:textId="77777777" w:rsidR="00D10F88" w:rsidRPr="001522B0" w:rsidRDefault="00D10F88" w:rsidP="00D10F88">
            <w:pPr>
              <w:rPr>
                <w:rFonts w:ascii="Century Gothic" w:hAnsi="Century Gothic"/>
                <w:color w:val="595959" w:themeColor="text1" w:themeTint="A6"/>
                <w:sz w:val="18"/>
                <w:szCs w:val="18"/>
              </w:rPr>
            </w:pPr>
          </w:p>
          <w:p w14:paraId="15CE6A3B"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Ingresos ordinarios, producción total, remuneración empresarial, rama de actividad CIIU 4.0 y grupo de ocupación CIUO 8.</w:t>
            </w:r>
          </w:p>
          <w:p w14:paraId="2ACE074B" w14:textId="77777777" w:rsidR="00D10F88" w:rsidRPr="001522B0" w:rsidRDefault="00D10F88" w:rsidP="00D10F88">
            <w:pPr>
              <w:rPr>
                <w:rFonts w:ascii="Century Gothic" w:hAnsi="Century Gothic"/>
                <w:color w:val="595959" w:themeColor="text1" w:themeTint="A6"/>
                <w:sz w:val="18"/>
                <w:szCs w:val="18"/>
              </w:rPr>
            </w:pPr>
          </w:p>
        </w:tc>
      </w:tr>
      <w:tr w:rsidR="00D10F88" w:rsidRPr="0089450F" w14:paraId="723F7F51" w14:textId="77777777" w:rsidTr="00460317">
        <w:trPr>
          <w:trHeight w:val="618"/>
        </w:trPr>
        <w:tc>
          <w:tcPr>
            <w:tcW w:w="3410" w:type="dxa"/>
            <w:shd w:val="clear" w:color="auto" w:fill="4266CE"/>
            <w:vAlign w:val="center"/>
          </w:tcPr>
          <w:p w14:paraId="715AAF03"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 xml:space="preserve">Periodicidad de la recolección </w:t>
            </w:r>
          </w:p>
        </w:tc>
        <w:tc>
          <w:tcPr>
            <w:tcW w:w="5427" w:type="dxa"/>
            <w:vAlign w:val="center"/>
          </w:tcPr>
          <w:p w14:paraId="3EF904F2"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Anual.</w:t>
            </w:r>
          </w:p>
        </w:tc>
      </w:tr>
      <w:tr w:rsidR="00D10F88" w:rsidRPr="0089450F" w14:paraId="3E07CA7D" w14:textId="77777777" w:rsidTr="00460317">
        <w:trPr>
          <w:trHeight w:val="598"/>
        </w:trPr>
        <w:tc>
          <w:tcPr>
            <w:tcW w:w="3410" w:type="dxa"/>
            <w:shd w:val="clear" w:color="auto" w:fill="4266CE"/>
            <w:vAlign w:val="center"/>
          </w:tcPr>
          <w:p w14:paraId="09044A9A"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Periodicidad de publicación</w:t>
            </w:r>
          </w:p>
        </w:tc>
        <w:tc>
          <w:tcPr>
            <w:tcW w:w="5427" w:type="dxa"/>
            <w:vAlign w:val="center"/>
          </w:tcPr>
          <w:p w14:paraId="04AEB94F" w14:textId="77777777" w:rsidR="00D10F88" w:rsidRPr="001522B0"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Anual</w:t>
            </w:r>
          </w:p>
        </w:tc>
      </w:tr>
      <w:tr w:rsidR="00D10F88" w:rsidRPr="0089450F" w14:paraId="0CD4748A" w14:textId="77777777" w:rsidTr="00460317">
        <w:trPr>
          <w:trHeight w:val="430"/>
        </w:trPr>
        <w:tc>
          <w:tcPr>
            <w:tcW w:w="3410" w:type="dxa"/>
            <w:shd w:val="clear" w:color="auto" w:fill="4266CE"/>
            <w:vAlign w:val="center"/>
          </w:tcPr>
          <w:p w14:paraId="4BEFFF7E"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Fecha de publicación</w:t>
            </w:r>
          </w:p>
        </w:tc>
        <w:tc>
          <w:tcPr>
            <w:tcW w:w="5427" w:type="dxa"/>
            <w:vAlign w:val="center"/>
          </w:tcPr>
          <w:p w14:paraId="512955B2" w14:textId="77777777" w:rsidR="00D10F88" w:rsidRPr="001522B0" w:rsidRDefault="00D10F88" w:rsidP="00D10F88">
            <w:pPr>
              <w:rPr>
                <w:rFonts w:ascii="Century Gothic" w:hAnsi="Century Gothic"/>
                <w:color w:val="595959" w:themeColor="text1" w:themeTint="A6"/>
                <w:sz w:val="18"/>
                <w:szCs w:val="18"/>
              </w:rPr>
            </w:pPr>
          </w:p>
          <w:p w14:paraId="39C96E19" w14:textId="77777777" w:rsidR="00D10F88" w:rsidRPr="001522B0" w:rsidRDefault="00897A16" w:rsidP="00D10F88">
            <w:pPr>
              <w:rPr>
                <w:rFonts w:ascii="Century Gothic" w:hAnsi="Century Gothic"/>
                <w:color w:val="595959" w:themeColor="text1" w:themeTint="A6"/>
                <w:sz w:val="18"/>
                <w:szCs w:val="18"/>
              </w:rPr>
            </w:pPr>
            <w:r>
              <w:rPr>
                <w:rFonts w:ascii="Century Gothic" w:hAnsi="Century Gothic"/>
                <w:color w:val="595959" w:themeColor="text1" w:themeTint="A6"/>
                <w:sz w:val="18"/>
                <w:szCs w:val="18"/>
              </w:rPr>
              <w:t>28 de marzo de 2024</w:t>
            </w:r>
          </w:p>
          <w:p w14:paraId="7F918627" w14:textId="77777777" w:rsidR="00D10F88" w:rsidRPr="001522B0" w:rsidRDefault="00D10F88" w:rsidP="00D10F88">
            <w:pPr>
              <w:rPr>
                <w:rFonts w:ascii="Century Gothic" w:hAnsi="Century Gothic"/>
                <w:color w:val="595959" w:themeColor="text1" w:themeTint="A6"/>
                <w:sz w:val="18"/>
                <w:szCs w:val="18"/>
              </w:rPr>
            </w:pPr>
          </w:p>
        </w:tc>
      </w:tr>
      <w:tr w:rsidR="00D10F88" w:rsidRPr="0089450F" w14:paraId="7837F5AA" w14:textId="77777777" w:rsidTr="00460317">
        <w:trPr>
          <w:trHeight w:val="430"/>
        </w:trPr>
        <w:tc>
          <w:tcPr>
            <w:tcW w:w="3410" w:type="dxa"/>
            <w:shd w:val="clear" w:color="auto" w:fill="4266CE"/>
            <w:vAlign w:val="center"/>
          </w:tcPr>
          <w:p w14:paraId="4D879B0A" w14:textId="77777777" w:rsidR="00D10F88" w:rsidRPr="001522B0" w:rsidRDefault="00D10F88" w:rsidP="00D10F88">
            <w:pPr>
              <w:rPr>
                <w:rFonts w:ascii="Century Gothic" w:hAnsi="Century Gothic"/>
                <w:sz w:val="18"/>
                <w:szCs w:val="18"/>
              </w:rPr>
            </w:pPr>
            <w:r w:rsidRPr="001522B0">
              <w:rPr>
                <w:rFonts w:ascii="Century Gothic" w:eastAsia="Times New Roman" w:hAnsi="Century Gothic" w:cs="Open Sans"/>
                <w:b/>
                <w:color w:val="FFFFFF" w:themeColor="background1"/>
                <w:sz w:val="18"/>
                <w:szCs w:val="18"/>
                <w:lang w:eastAsia="es-ES_tradnl"/>
              </w:rPr>
              <w:t xml:space="preserve">Medio principal de difusión </w:t>
            </w:r>
          </w:p>
        </w:tc>
        <w:tc>
          <w:tcPr>
            <w:tcW w:w="5427" w:type="dxa"/>
            <w:vAlign w:val="center"/>
          </w:tcPr>
          <w:p w14:paraId="66539E5B" w14:textId="77777777" w:rsidR="00D10F88" w:rsidRPr="001522B0" w:rsidRDefault="00D10F88" w:rsidP="00D10F88">
            <w:pPr>
              <w:rPr>
                <w:rFonts w:ascii="Century Gothic" w:hAnsi="Century Gothic"/>
                <w:color w:val="595959" w:themeColor="text1" w:themeTint="A6"/>
                <w:sz w:val="18"/>
                <w:szCs w:val="18"/>
              </w:rPr>
            </w:pPr>
          </w:p>
          <w:p w14:paraId="30EEED17" w14:textId="77777777" w:rsidR="00D10F88" w:rsidRDefault="00D10F88" w:rsidP="00D10F88">
            <w:pPr>
              <w:rPr>
                <w:rFonts w:ascii="Century Gothic" w:hAnsi="Century Gothic"/>
                <w:color w:val="595959" w:themeColor="text1" w:themeTint="A6"/>
                <w:sz w:val="18"/>
                <w:szCs w:val="18"/>
              </w:rPr>
            </w:pPr>
            <w:r w:rsidRPr="001522B0">
              <w:rPr>
                <w:rFonts w:ascii="Century Gothic" w:hAnsi="Century Gothic"/>
                <w:color w:val="595959" w:themeColor="text1" w:themeTint="A6"/>
                <w:sz w:val="18"/>
                <w:szCs w:val="18"/>
              </w:rPr>
              <w:t>Ecuador en cifras</w:t>
            </w:r>
          </w:p>
          <w:p w14:paraId="590A51A3" w14:textId="77777777" w:rsidR="00D10F88" w:rsidRDefault="00746E03" w:rsidP="00897A16">
            <w:hyperlink r:id="rId18" w:history="1">
              <w:r w:rsidR="00897A16" w:rsidRPr="00AB5ED4">
                <w:rPr>
                  <w:rStyle w:val="Hipervnculo"/>
                  <w:rFonts w:ascii="Century Gothic" w:hAnsi="Century Gothic"/>
                  <w:sz w:val="18"/>
                  <w:szCs w:val="18"/>
                </w:rPr>
                <w:t>https://www.ecuadorencifras.gob.ec/encuesta-a-empresas/</w:t>
              </w:r>
            </w:hyperlink>
          </w:p>
          <w:p w14:paraId="7BEAC296" w14:textId="77777777" w:rsidR="00897A16" w:rsidRPr="001522B0" w:rsidRDefault="00897A16" w:rsidP="00897A16">
            <w:pPr>
              <w:rPr>
                <w:rFonts w:ascii="Century Gothic" w:hAnsi="Century Gothic"/>
                <w:color w:val="595959" w:themeColor="text1" w:themeTint="A6"/>
                <w:sz w:val="18"/>
                <w:szCs w:val="18"/>
              </w:rPr>
            </w:pPr>
          </w:p>
        </w:tc>
      </w:tr>
    </w:tbl>
    <w:p w14:paraId="15D880A8" w14:textId="77777777" w:rsidR="0007659A" w:rsidRPr="0089450F" w:rsidRDefault="0007659A">
      <w:pPr>
        <w:rPr>
          <w:rFonts w:ascii="Century Gothic" w:hAnsi="Century Gothic"/>
        </w:rPr>
      </w:pPr>
    </w:p>
    <w:p w14:paraId="2DCC7749" w14:textId="77777777" w:rsidR="0007659A" w:rsidRPr="0089450F" w:rsidRDefault="0007659A">
      <w:pPr>
        <w:rPr>
          <w:rFonts w:ascii="Century Gothic" w:hAnsi="Century Gothic"/>
        </w:rPr>
      </w:pPr>
    </w:p>
    <w:p w14:paraId="18090596" w14:textId="77777777" w:rsidR="0007659A" w:rsidRPr="0089450F" w:rsidRDefault="0007659A">
      <w:pPr>
        <w:rPr>
          <w:rFonts w:ascii="Century Gothic" w:hAnsi="Century Gothic"/>
        </w:rPr>
      </w:pPr>
    </w:p>
    <w:p w14:paraId="2D280BB5" w14:textId="77777777" w:rsidR="0007659A" w:rsidRPr="0089450F" w:rsidRDefault="0007659A">
      <w:pPr>
        <w:rPr>
          <w:rFonts w:ascii="Century Gothic" w:hAnsi="Century Gothic"/>
        </w:rPr>
      </w:pPr>
    </w:p>
    <w:p w14:paraId="7455EBC7" w14:textId="77777777" w:rsidR="0007659A" w:rsidRPr="0089450F" w:rsidRDefault="0007659A">
      <w:pPr>
        <w:rPr>
          <w:rFonts w:ascii="Century Gothic" w:hAnsi="Century Gothic"/>
        </w:rPr>
      </w:pPr>
    </w:p>
    <w:p w14:paraId="1F432702" w14:textId="77777777" w:rsidR="0007659A" w:rsidRPr="0089450F" w:rsidRDefault="0007659A">
      <w:pPr>
        <w:rPr>
          <w:rFonts w:ascii="Century Gothic" w:hAnsi="Century Gothic"/>
        </w:rPr>
      </w:pPr>
    </w:p>
    <w:p w14:paraId="6E3C38FD" w14:textId="77777777" w:rsidR="0007659A" w:rsidRPr="0089450F" w:rsidRDefault="0007659A">
      <w:pPr>
        <w:rPr>
          <w:rFonts w:ascii="Century Gothic" w:hAnsi="Century Gothic"/>
        </w:rPr>
      </w:pPr>
    </w:p>
    <w:p w14:paraId="176323C5" w14:textId="77777777" w:rsidR="0007659A" w:rsidRPr="0089450F" w:rsidRDefault="0007659A">
      <w:pPr>
        <w:rPr>
          <w:rFonts w:ascii="Century Gothic" w:hAnsi="Century Gothic"/>
        </w:rPr>
      </w:pPr>
    </w:p>
    <w:p w14:paraId="515FF8BC" w14:textId="77777777" w:rsidR="0007659A" w:rsidRPr="0089450F" w:rsidRDefault="0007659A">
      <w:pPr>
        <w:rPr>
          <w:rFonts w:ascii="Century Gothic" w:hAnsi="Century Gothic"/>
        </w:rPr>
      </w:pPr>
    </w:p>
    <w:p w14:paraId="69D618AA" w14:textId="77777777" w:rsidR="0007659A" w:rsidRPr="0089450F" w:rsidRDefault="0007659A">
      <w:pPr>
        <w:rPr>
          <w:rFonts w:ascii="Century Gothic" w:hAnsi="Century Gothic"/>
        </w:rPr>
      </w:pPr>
    </w:p>
    <w:p w14:paraId="557D1FD4" w14:textId="77777777" w:rsidR="0007659A" w:rsidRPr="0089450F" w:rsidRDefault="0007659A">
      <w:pPr>
        <w:rPr>
          <w:rFonts w:ascii="Century Gothic" w:hAnsi="Century Gothic"/>
        </w:rPr>
      </w:pPr>
    </w:p>
    <w:p w14:paraId="3C3ADB56" w14:textId="77777777" w:rsidR="0007659A" w:rsidRPr="0089450F" w:rsidRDefault="00CF7C8A">
      <w:pPr>
        <w:rPr>
          <w:rFonts w:ascii="Century Gothic" w:hAnsi="Century Gothic"/>
        </w:rPr>
      </w:pPr>
      <w:r w:rsidRPr="0089450F">
        <w:rPr>
          <w:rFonts w:ascii="Century Gothic" w:hAnsi="Century Gothic"/>
          <w:noProof/>
          <w:lang w:eastAsia="es-EC"/>
        </w:rPr>
        <mc:AlternateContent>
          <mc:Choice Requires="wps">
            <w:drawing>
              <wp:anchor distT="0" distB="0" distL="114300" distR="114300" simplePos="0" relativeHeight="251672576" behindDoc="0" locked="0" layoutInCell="1" allowOverlap="1" wp14:anchorId="2D082EA8" wp14:editId="2DF29E4D">
                <wp:simplePos x="0" y="0"/>
                <wp:positionH relativeFrom="margin">
                  <wp:posOffset>-397510</wp:posOffset>
                </wp:positionH>
                <wp:positionV relativeFrom="paragraph">
                  <wp:posOffset>143510</wp:posOffset>
                </wp:positionV>
                <wp:extent cx="6315739" cy="3349255"/>
                <wp:effectExtent l="0" t="0" r="8890" b="3810"/>
                <wp:wrapNone/>
                <wp:docPr id="9" name="Cuadro de texto 9"/>
                <wp:cNvGraphicFramePr/>
                <a:graphic xmlns:a="http://schemas.openxmlformats.org/drawingml/2006/main">
                  <a:graphicData uri="http://schemas.microsoft.com/office/word/2010/wordprocessingShape">
                    <wps:wsp>
                      <wps:cNvSpPr txBox="1"/>
                      <wps:spPr>
                        <a:xfrm>
                          <a:off x="0" y="0"/>
                          <a:ext cx="6315739" cy="3349255"/>
                        </a:xfrm>
                        <a:prstGeom prst="rect">
                          <a:avLst/>
                        </a:prstGeom>
                        <a:noFill/>
                        <a:ln w="6350">
                          <a:noFill/>
                        </a:ln>
                      </wps:spPr>
                      <wps:txbx>
                        <w:txbxContent>
                          <w:p w14:paraId="499B89E0" w14:textId="77777777" w:rsidR="00746E03" w:rsidRPr="001E4E5C" w:rsidRDefault="00746E03" w:rsidP="00457E30">
                            <w:pPr>
                              <w:pStyle w:val="Prrafodelista"/>
                              <w:spacing w:after="0" w:line="240" w:lineRule="auto"/>
                              <w:ind w:left="357"/>
                              <w:jc w:val="center"/>
                              <w:rPr>
                                <w:rFonts w:ascii="Century Gothic" w:hAnsi="Century Gothic"/>
                                <w:b/>
                                <w:bCs/>
                                <w:color w:val="FFFFFF" w:themeColor="background1"/>
                                <w:sz w:val="88"/>
                                <w:szCs w:val="88"/>
                                <w:lang w:val="es-ES"/>
                              </w:rPr>
                            </w:pPr>
                            <w:r w:rsidRPr="001E4E5C">
                              <w:rPr>
                                <w:rFonts w:ascii="Century Gothic" w:hAnsi="Century Gothic"/>
                                <w:b/>
                                <w:bCs/>
                                <w:color w:val="FFFFFF" w:themeColor="background1"/>
                                <w:sz w:val="88"/>
                                <w:szCs w:val="88"/>
                                <w:lang w:val="es-ES"/>
                              </w:rPr>
                              <w:t>Metodología Encuesta Estructural Empresarial</w:t>
                            </w:r>
                          </w:p>
                          <w:p w14:paraId="6F052546" w14:textId="77777777" w:rsidR="00746E03" w:rsidRPr="001E4E5C" w:rsidRDefault="00746E03" w:rsidP="00457E30">
                            <w:pPr>
                              <w:pStyle w:val="Prrafodelista"/>
                              <w:spacing w:after="0" w:line="240" w:lineRule="auto"/>
                              <w:ind w:left="357"/>
                              <w:jc w:val="center"/>
                              <w:rPr>
                                <w:rFonts w:ascii="Century Gothic" w:hAnsi="Century Gothic"/>
                                <w:b/>
                                <w:bCs/>
                                <w:color w:val="FFFFFF" w:themeColor="background1"/>
                                <w:sz w:val="88"/>
                                <w:szCs w:val="88"/>
                                <w:lang w:val="es-ES"/>
                              </w:rPr>
                            </w:pPr>
                            <w:r w:rsidRPr="001E4E5C">
                              <w:rPr>
                                <w:rFonts w:ascii="Century Gothic" w:hAnsi="Century Gothic"/>
                                <w:b/>
                                <w:bCs/>
                                <w:color w:val="FFFFFF" w:themeColor="background1"/>
                                <w:sz w:val="88"/>
                                <w:szCs w:val="88"/>
                                <w:lang w:val="es-ES"/>
                              </w:rPr>
                              <w:t>(ENESEM 2022)</w:t>
                            </w:r>
                          </w:p>
                          <w:p w14:paraId="3373D289" w14:textId="77777777" w:rsidR="00746E03" w:rsidRPr="001E4E5C" w:rsidRDefault="00746E03" w:rsidP="000F0D4B">
                            <w:pPr>
                              <w:jc w:val="center"/>
                              <w:rPr>
                                <w:rFonts w:ascii="Century Gothic" w:hAnsi="Century Gothic"/>
                                <w:b/>
                                <w:bCs/>
                                <w:color w:val="FFFFFF" w:themeColor="background1"/>
                                <w:sz w:val="88"/>
                                <w:szCs w:val="88"/>
                                <w:lang w:val="es-E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82EA8" id="Cuadro de texto 9" o:spid="_x0000_s1029" type="#_x0000_t202" style="position:absolute;margin-left:-31.3pt;margin-top:11.3pt;width:497.3pt;height:263.7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" filled="f" stroked="f" strokeweight=".5pt">
                <v:textbox inset="0,0,0,0">
                  <w:txbxContent>
                    <w:p w14:paraId="499B89E0" w14:textId="77777777" w:rsidR="00746E03" w:rsidRPr="001E4E5C" w:rsidRDefault="00746E03" w:rsidP="00457E30">
                      <w:pPr>
                        <w:pStyle w:val="Prrafodelista"/>
                        <w:spacing w:after="0" w:line="240" w:lineRule="auto"/>
                        <w:ind w:left="357"/>
                        <w:jc w:val="center"/>
                        <w:rPr>
                          <w:rFonts w:ascii="Century Gothic" w:hAnsi="Century Gothic"/>
                          <w:b/>
                          <w:bCs/>
                          <w:color w:val="FFFFFF" w:themeColor="background1"/>
                          <w:sz w:val="88"/>
                          <w:szCs w:val="88"/>
                          <w:lang w:val="es-ES"/>
                        </w:rPr>
                      </w:pPr>
                      <w:r w:rsidRPr="001E4E5C">
                        <w:rPr>
                          <w:rFonts w:ascii="Century Gothic" w:hAnsi="Century Gothic"/>
                          <w:b/>
                          <w:bCs/>
                          <w:color w:val="FFFFFF" w:themeColor="background1"/>
                          <w:sz w:val="88"/>
                          <w:szCs w:val="88"/>
                          <w:lang w:val="es-ES"/>
                        </w:rPr>
                        <w:t>Metodología Encuesta Estructural Empresarial</w:t>
                      </w:r>
                    </w:p>
                    <w:p w14:paraId="6F052546" w14:textId="77777777" w:rsidR="00746E03" w:rsidRPr="001E4E5C" w:rsidRDefault="00746E03" w:rsidP="00457E30">
                      <w:pPr>
                        <w:pStyle w:val="Prrafodelista"/>
                        <w:spacing w:after="0" w:line="240" w:lineRule="auto"/>
                        <w:ind w:left="357"/>
                        <w:jc w:val="center"/>
                        <w:rPr>
                          <w:rFonts w:ascii="Century Gothic" w:hAnsi="Century Gothic"/>
                          <w:b/>
                          <w:bCs/>
                          <w:color w:val="FFFFFF" w:themeColor="background1"/>
                          <w:sz w:val="88"/>
                          <w:szCs w:val="88"/>
                          <w:lang w:val="es-ES"/>
                        </w:rPr>
                      </w:pPr>
                      <w:r w:rsidRPr="001E4E5C">
                        <w:rPr>
                          <w:rFonts w:ascii="Century Gothic" w:hAnsi="Century Gothic"/>
                          <w:b/>
                          <w:bCs/>
                          <w:color w:val="FFFFFF" w:themeColor="background1"/>
                          <w:sz w:val="88"/>
                          <w:szCs w:val="88"/>
                          <w:lang w:val="es-ES"/>
                        </w:rPr>
                        <w:t>(ENESEM 2022)</w:t>
                      </w:r>
                    </w:p>
                    <w:p w14:paraId="3373D289" w14:textId="77777777" w:rsidR="00746E03" w:rsidRPr="001E4E5C" w:rsidRDefault="00746E03" w:rsidP="000F0D4B">
                      <w:pPr>
                        <w:jc w:val="center"/>
                        <w:rPr>
                          <w:rFonts w:ascii="Century Gothic" w:hAnsi="Century Gothic"/>
                          <w:b/>
                          <w:bCs/>
                          <w:color w:val="FFFFFF" w:themeColor="background1"/>
                          <w:sz w:val="88"/>
                          <w:szCs w:val="88"/>
                          <w:lang w:val="es-ES"/>
                        </w:rPr>
                      </w:pPr>
                    </w:p>
                  </w:txbxContent>
                </v:textbox>
                <w10:wrap anchorx="margin"/>
              </v:shape>
            </w:pict>
          </mc:Fallback>
        </mc:AlternateContent>
      </w:r>
    </w:p>
    <w:p w14:paraId="38FD4B7C" w14:textId="77777777" w:rsidR="0007659A" w:rsidRPr="0089450F" w:rsidRDefault="0007659A">
      <w:pPr>
        <w:rPr>
          <w:rFonts w:ascii="Century Gothic" w:hAnsi="Century Gothic"/>
        </w:rPr>
      </w:pPr>
    </w:p>
    <w:p w14:paraId="68459455" w14:textId="77777777" w:rsidR="0007659A" w:rsidRPr="0089450F" w:rsidRDefault="0007659A">
      <w:pPr>
        <w:rPr>
          <w:rFonts w:ascii="Century Gothic" w:hAnsi="Century Gothic"/>
        </w:rPr>
      </w:pPr>
    </w:p>
    <w:p w14:paraId="50587B3C" w14:textId="77777777" w:rsidR="0007659A" w:rsidRPr="0089450F" w:rsidRDefault="0007659A">
      <w:pPr>
        <w:rPr>
          <w:rFonts w:ascii="Century Gothic" w:hAnsi="Century Gothic"/>
        </w:rPr>
      </w:pPr>
    </w:p>
    <w:p w14:paraId="6D7C9E63" w14:textId="77777777" w:rsidR="0007659A" w:rsidRPr="0089450F" w:rsidRDefault="0007659A">
      <w:pPr>
        <w:rPr>
          <w:rFonts w:ascii="Century Gothic" w:hAnsi="Century Gothic"/>
        </w:rPr>
      </w:pPr>
    </w:p>
    <w:p w14:paraId="60D523E4" w14:textId="77777777" w:rsidR="0007659A" w:rsidRPr="0089450F" w:rsidRDefault="0007659A">
      <w:pPr>
        <w:rPr>
          <w:rFonts w:ascii="Century Gothic" w:hAnsi="Century Gothic"/>
        </w:rPr>
      </w:pPr>
    </w:p>
    <w:p w14:paraId="6BCEB944" w14:textId="77777777" w:rsidR="0007659A" w:rsidRPr="0089450F" w:rsidRDefault="0007659A">
      <w:pPr>
        <w:rPr>
          <w:rFonts w:ascii="Century Gothic" w:hAnsi="Century Gothic"/>
        </w:rPr>
      </w:pPr>
    </w:p>
    <w:p w14:paraId="74A664EE" w14:textId="77777777" w:rsidR="0007659A" w:rsidRPr="0089450F" w:rsidRDefault="0007659A">
      <w:pPr>
        <w:rPr>
          <w:rFonts w:ascii="Century Gothic" w:hAnsi="Century Gothic"/>
        </w:rPr>
      </w:pPr>
    </w:p>
    <w:p w14:paraId="2E7AE8C9" w14:textId="77777777" w:rsidR="0007659A" w:rsidRPr="0089450F" w:rsidRDefault="0007659A">
      <w:pPr>
        <w:rPr>
          <w:rFonts w:ascii="Century Gothic" w:hAnsi="Century Gothic"/>
        </w:rPr>
      </w:pPr>
    </w:p>
    <w:p w14:paraId="3C413745" w14:textId="77777777" w:rsidR="000F0D4B" w:rsidRPr="0089450F" w:rsidRDefault="000F0D4B">
      <w:pPr>
        <w:rPr>
          <w:rFonts w:ascii="Century Gothic" w:hAnsi="Century Gothic"/>
        </w:rPr>
      </w:pPr>
      <w:r w:rsidRPr="0089450F">
        <w:rPr>
          <w:rFonts w:ascii="Century Gothic" w:hAnsi="Century Gothic"/>
          <w:noProof/>
          <w:lang w:eastAsia="es-EC"/>
        </w:rPr>
        <w:drawing>
          <wp:anchor distT="0" distB="0" distL="114300" distR="114300" simplePos="0" relativeHeight="251670528" behindDoc="1" locked="0" layoutInCell="1" allowOverlap="1" wp14:anchorId="4FAFBD73" wp14:editId="2403B793">
            <wp:simplePos x="0" y="0"/>
            <wp:positionH relativeFrom="margin">
              <wp:posOffset>-1076903</wp:posOffset>
            </wp:positionH>
            <wp:positionV relativeFrom="margin">
              <wp:posOffset>-892753</wp:posOffset>
            </wp:positionV>
            <wp:extent cx="7550650" cy="10685122"/>
            <wp:effectExtent l="0" t="0" r="635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9" cstate="email">
                      <a:extLst>
                        <a:ext uri="{28A0092B-C50C-407E-A947-70E740481C1C}">
                          <a14:useLocalDpi xmlns:a14="http://schemas.microsoft.com/office/drawing/2010/main"/>
                        </a:ext>
                      </a:extLst>
                    </a:blip>
                    <a:stretch>
                      <a:fillRect/>
                    </a:stretch>
                  </pic:blipFill>
                  <pic:spPr>
                    <a:xfrm>
                      <a:off x="0" y="0"/>
                      <a:ext cx="7550650" cy="10685122"/>
                    </a:xfrm>
                    <a:prstGeom prst="rect">
                      <a:avLst/>
                    </a:prstGeom>
                  </pic:spPr>
                </pic:pic>
              </a:graphicData>
            </a:graphic>
            <wp14:sizeRelH relativeFrom="page">
              <wp14:pctWidth>0</wp14:pctWidth>
            </wp14:sizeRelH>
            <wp14:sizeRelV relativeFrom="page">
              <wp14:pctHeight>0</wp14:pctHeight>
            </wp14:sizeRelV>
          </wp:anchor>
        </w:drawing>
      </w:r>
    </w:p>
    <w:p w14:paraId="2CF21A26" w14:textId="77777777" w:rsidR="0007659A" w:rsidRPr="0089450F" w:rsidRDefault="000F0D4B">
      <w:pPr>
        <w:rPr>
          <w:rFonts w:ascii="Century Gothic" w:hAnsi="Century Gothic"/>
        </w:rPr>
      </w:pPr>
      <w:r w:rsidRPr="0089450F">
        <w:rPr>
          <w:rFonts w:ascii="Century Gothic" w:hAnsi="Century Gothic"/>
        </w:rPr>
        <w:br w:type="page"/>
      </w:r>
    </w:p>
    <w:p w14:paraId="5EE1F39A" w14:textId="77777777" w:rsidR="006A74FA" w:rsidRPr="0089450F" w:rsidRDefault="006A74FA" w:rsidP="006A74FA">
      <w:pPr>
        <w:pStyle w:val="Ttulo3"/>
        <w:ind w:left="567" w:hanging="207"/>
        <w:jc w:val="center"/>
        <w:rPr>
          <w:color w:val="595959" w:themeColor="text1" w:themeTint="A6"/>
          <w:sz w:val="40"/>
        </w:rPr>
      </w:pPr>
      <w:bookmarkStart w:id="25" w:name="_Toc155793850"/>
      <w:bookmarkStart w:id="26" w:name="_Toc161322533"/>
      <w:r w:rsidRPr="0089450F">
        <w:rPr>
          <w:color w:val="595959" w:themeColor="text1" w:themeTint="A6"/>
          <w:sz w:val="40"/>
        </w:rPr>
        <w:lastRenderedPageBreak/>
        <w:t>Prólogo</w:t>
      </w:r>
      <w:bookmarkEnd w:id="25"/>
      <w:bookmarkEnd w:id="26"/>
      <w:r w:rsidRPr="0089450F">
        <w:rPr>
          <w:color w:val="595959" w:themeColor="text1" w:themeTint="A6"/>
          <w:sz w:val="40"/>
        </w:rPr>
        <w:t xml:space="preserve"> </w:t>
      </w:r>
    </w:p>
    <w:p w14:paraId="1D4B45F2" w14:textId="77777777" w:rsidR="006A74FA" w:rsidRPr="0089450F" w:rsidRDefault="006A74FA" w:rsidP="006A74FA">
      <w:pPr>
        <w:spacing w:after="200" w:line="276" w:lineRule="auto"/>
        <w:jc w:val="both"/>
        <w:rPr>
          <w:rFonts w:ascii="Century Gothic" w:eastAsia="Calibri" w:hAnsi="Century Gothic" w:cs="Times New Roman"/>
          <w:iCs/>
          <w:color w:val="7C7C7B"/>
          <w:sz w:val="21"/>
          <w:szCs w:val="21"/>
        </w:rPr>
      </w:pPr>
      <w:r w:rsidRPr="0089450F">
        <w:rPr>
          <w:rFonts w:ascii="Century Gothic" w:eastAsia="Calibri" w:hAnsi="Century Gothic" w:cs="Times New Roman"/>
          <w:iCs/>
          <w:color w:val="7C7C7B"/>
          <w:sz w:val="21"/>
          <w:szCs w:val="21"/>
        </w:rPr>
        <w:t>La Encuesta Estructural Empresarial (ENESEM)</w:t>
      </w:r>
      <w:r w:rsidRPr="0089450F">
        <w:rPr>
          <w:rFonts w:ascii="Century Gothic" w:eastAsia="Century Gothic" w:hAnsi="Century Gothic" w:cs="Century Gothic"/>
          <w:iCs/>
          <w:color w:val="6E6E7C"/>
          <w:sz w:val="21"/>
          <w:szCs w:val="21"/>
          <w:vertAlign w:val="superscript"/>
          <w:lang w:val="es-ES" w:eastAsia="es-ES" w:bidi="es-ES"/>
        </w:rPr>
        <w:footnoteReference w:id="1"/>
      </w:r>
      <w:r w:rsidRPr="0089450F">
        <w:rPr>
          <w:rFonts w:ascii="Century Gothic" w:eastAsia="Calibri" w:hAnsi="Century Gothic" w:cs="Times New Roman"/>
          <w:iCs/>
          <w:color w:val="7C7C7B"/>
          <w:sz w:val="21"/>
          <w:szCs w:val="21"/>
        </w:rPr>
        <w:t xml:space="preserve"> es una operación estadística ejecutada por el Instituto Nacional d</w:t>
      </w:r>
      <w:r w:rsidR="002E5182">
        <w:rPr>
          <w:rFonts w:ascii="Century Gothic" w:eastAsia="Calibri" w:hAnsi="Century Gothic" w:cs="Times New Roman"/>
          <w:iCs/>
          <w:color w:val="7C7C7B"/>
          <w:sz w:val="21"/>
          <w:szCs w:val="21"/>
        </w:rPr>
        <w:t>e</w:t>
      </w:r>
      <w:r w:rsidRPr="0089450F">
        <w:rPr>
          <w:rFonts w:ascii="Century Gothic" w:eastAsia="Calibri" w:hAnsi="Century Gothic" w:cs="Times New Roman"/>
          <w:iCs/>
          <w:color w:val="7C7C7B"/>
          <w:sz w:val="21"/>
          <w:szCs w:val="21"/>
        </w:rPr>
        <w:t xml:space="preserve"> Estadística y Censos (INEC), la cual genera información estadística sobre la estructura y evolución de las actividades económicas categorizadas según secciones de la Clasificación Industrial Internacional Uniforme (CIIU) para las empresas grandes y medianas del Ecuador, calculando agregados económicos como la producción, consumo intermedio, valor agregado; entre otras. Así también, presenta información sobre materias primas, productos elaborados, mercaderías y servicios vendidos, uso de tecnologías y comunicación (TIC) en las empresas e información de establecimientos económicos. </w:t>
      </w:r>
    </w:p>
    <w:p w14:paraId="6BC71713" w14:textId="77777777" w:rsidR="006A74FA" w:rsidRPr="0089450F" w:rsidRDefault="006A74FA" w:rsidP="006A74FA">
      <w:pPr>
        <w:spacing w:after="200" w:line="276" w:lineRule="auto"/>
        <w:jc w:val="both"/>
        <w:rPr>
          <w:rFonts w:ascii="Century Gothic" w:eastAsia="Calibri" w:hAnsi="Century Gothic" w:cs="Times New Roman"/>
          <w:iCs/>
          <w:color w:val="7C7C7B"/>
          <w:sz w:val="21"/>
          <w:szCs w:val="21"/>
        </w:rPr>
      </w:pPr>
      <w:r w:rsidRPr="0089450F">
        <w:rPr>
          <w:rFonts w:ascii="Century Gothic" w:eastAsia="Calibri" w:hAnsi="Century Gothic" w:cs="Times New Roman"/>
          <w:iCs/>
          <w:color w:val="7C7C7B"/>
          <w:sz w:val="21"/>
          <w:szCs w:val="21"/>
        </w:rPr>
        <w:t>Con el propósito de brindar a los usuarios un correcto entendimiento de los procesos de: planificación, levantamiento, procesamiento, análisis y publicación de los resultados, se proporciona un instrumento que detalla la producción de las Estadísticas Empresariales.</w:t>
      </w:r>
    </w:p>
    <w:p w14:paraId="4FCD1CA7" w14:textId="77777777" w:rsidR="006A74FA" w:rsidRPr="0089450F" w:rsidRDefault="006A74FA" w:rsidP="006A74FA">
      <w:pPr>
        <w:spacing w:after="200" w:line="276" w:lineRule="auto"/>
        <w:jc w:val="both"/>
        <w:rPr>
          <w:rFonts w:ascii="Century Gothic" w:eastAsia="Calibri" w:hAnsi="Century Gothic" w:cs="Times New Roman"/>
          <w:iCs/>
          <w:color w:val="6E6E7C"/>
          <w:sz w:val="21"/>
          <w:szCs w:val="21"/>
          <w:lang w:eastAsia="es-EC"/>
        </w:rPr>
      </w:pPr>
      <w:r w:rsidRPr="0089450F">
        <w:rPr>
          <w:rFonts w:ascii="Century Gothic" w:eastAsia="Calibri" w:hAnsi="Century Gothic" w:cs="Times New Roman"/>
          <w:iCs/>
          <w:color w:val="7C7C7B"/>
          <w:sz w:val="21"/>
          <w:szCs w:val="21"/>
        </w:rPr>
        <w:t xml:space="preserve">Se inicia con una breve historia que muestra la evolución de la encuesta a lo largo del tiempo. Seguido por el detalle de la metodología aplicada a fin de detectar las necesidades de información de usuarios internos y externos, objetivo, disponibilidad de datos; entre otros. </w:t>
      </w:r>
      <w:r w:rsidRPr="0089450F">
        <w:rPr>
          <w:rFonts w:ascii="Century Gothic" w:eastAsia="Calibri" w:hAnsi="Century Gothic" w:cs="Times New Roman"/>
          <w:iCs/>
          <w:color w:val="6E6E7C"/>
          <w:sz w:val="21"/>
          <w:szCs w:val="21"/>
          <w:lang w:eastAsia="es-EC"/>
        </w:rPr>
        <w:t>En la sección del marco muestral y diseño de la muestra se incluyen los elementos que determinan la ejecución de la operación estadística; tales como: dominio de estudio, marco de muestreo, variables de diseño, tamaño muestral, selección de la muestra y factores de expansión.</w:t>
      </w:r>
    </w:p>
    <w:p w14:paraId="0AD10A1D" w14:textId="77777777" w:rsidR="006A74FA" w:rsidRPr="0089450F" w:rsidRDefault="006A74FA" w:rsidP="006A74FA">
      <w:pPr>
        <w:spacing w:after="200" w:line="276" w:lineRule="auto"/>
        <w:jc w:val="both"/>
        <w:rPr>
          <w:rFonts w:ascii="Century Gothic" w:eastAsia="Times New Roman" w:hAnsi="Century Gothic" w:cs="Arial"/>
          <w:bCs/>
          <w:iCs/>
          <w:color w:val="6E6E7C"/>
          <w:sz w:val="21"/>
          <w:szCs w:val="21"/>
          <w:lang w:eastAsia="es-EC"/>
        </w:rPr>
      </w:pPr>
      <w:r w:rsidRPr="0089450F">
        <w:rPr>
          <w:rFonts w:ascii="Century Gothic" w:eastAsia="Calibri" w:hAnsi="Century Gothic" w:cs="Times New Roman"/>
          <w:iCs/>
          <w:color w:val="6E6E7C"/>
          <w:sz w:val="21"/>
          <w:szCs w:val="21"/>
          <w:lang w:eastAsia="es-EC"/>
        </w:rPr>
        <w:t>Posteriormente se describen los procesos referentes a la recolección de la información, preparación de la cartografía y asignación de cargas de trabajo. Por último, se r</w:t>
      </w:r>
      <w:r w:rsidR="00897A16">
        <w:rPr>
          <w:rFonts w:ascii="Century Gothic" w:eastAsia="Calibri" w:hAnsi="Century Gothic" w:cs="Times New Roman"/>
          <w:iCs/>
          <w:color w:val="6E6E7C"/>
          <w:sz w:val="21"/>
          <w:szCs w:val="21"/>
          <w:lang w:eastAsia="es-EC"/>
        </w:rPr>
        <w:t>esalta</w:t>
      </w:r>
      <w:r w:rsidRPr="0089450F">
        <w:rPr>
          <w:rFonts w:ascii="Century Gothic" w:eastAsia="Calibri" w:hAnsi="Century Gothic" w:cs="Times New Roman"/>
          <w:iCs/>
          <w:color w:val="6E6E7C"/>
          <w:sz w:val="21"/>
          <w:szCs w:val="21"/>
          <w:lang w:eastAsia="es-EC"/>
        </w:rPr>
        <w:t xml:space="preserve"> la depuración de datos, generación de resultados estadísticos y su preparación para el análisis y difusión; así como, la </w:t>
      </w:r>
      <w:r w:rsidRPr="0089450F">
        <w:rPr>
          <w:rFonts w:ascii="Century Gothic" w:eastAsia="Calibri" w:hAnsi="Century Gothic" w:cs="Times New Roman"/>
          <w:iCs/>
          <w:color w:val="6E6E7C"/>
          <w:sz w:val="21"/>
          <w:szCs w:val="21"/>
        </w:rPr>
        <w:t xml:space="preserve">explicación e interpretación de resultados de la operación estadística. Este conjunto de procesos permite la </w:t>
      </w:r>
      <w:r w:rsidRPr="0089450F">
        <w:rPr>
          <w:rFonts w:ascii="Century Gothic" w:eastAsia="Times New Roman" w:hAnsi="Century Gothic" w:cs="Arial"/>
          <w:bCs/>
          <w:iCs/>
          <w:color w:val="6E6E7C"/>
          <w:sz w:val="21"/>
          <w:szCs w:val="21"/>
          <w:lang w:eastAsia="es-EC"/>
        </w:rPr>
        <w:t>producción estadística y la evaluación de los insumos recopilados a lo largo de las diferentes fases.</w:t>
      </w:r>
    </w:p>
    <w:p w14:paraId="107DAD0A" w14:textId="77777777" w:rsidR="008772EA" w:rsidRDefault="008772EA" w:rsidP="006A74FA">
      <w:pPr>
        <w:spacing w:after="200" w:line="276" w:lineRule="auto"/>
        <w:jc w:val="both"/>
        <w:rPr>
          <w:rFonts w:ascii="Century Gothic" w:eastAsia="Calibri" w:hAnsi="Century Gothic" w:cs="Times New Roman"/>
          <w:iCs/>
          <w:color w:val="7C7C7B"/>
          <w:sz w:val="21"/>
          <w:szCs w:val="21"/>
        </w:rPr>
      </w:pPr>
    </w:p>
    <w:p w14:paraId="40641C71" w14:textId="77777777" w:rsidR="008772EA" w:rsidRDefault="008772EA" w:rsidP="006A74FA">
      <w:pPr>
        <w:spacing w:after="200" w:line="276" w:lineRule="auto"/>
        <w:jc w:val="both"/>
        <w:rPr>
          <w:rFonts w:ascii="Century Gothic" w:eastAsia="Calibri" w:hAnsi="Century Gothic" w:cs="Times New Roman"/>
          <w:iCs/>
          <w:color w:val="7C7C7B"/>
          <w:sz w:val="21"/>
          <w:szCs w:val="21"/>
        </w:rPr>
      </w:pPr>
    </w:p>
    <w:p w14:paraId="5BA403A6" w14:textId="77777777" w:rsidR="008772EA" w:rsidRDefault="008772EA" w:rsidP="006A74FA">
      <w:pPr>
        <w:spacing w:after="200" w:line="276" w:lineRule="auto"/>
        <w:jc w:val="both"/>
        <w:rPr>
          <w:rFonts w:ascii="Century Gothic" w:eastAsia="Calibri" w:hAnsi="Century Gothic" w:cs="Times New Roman"/>
          <w:iCs/>
          <w:color w:val="7C7C7B"/>
          <w:sz w:val="21"/>
          <w:szCs w:val="21"/>
        </w:rPr>
      </w:pPr>
    </w:p>
    <w:p w14:paraId="3E2CE706" w14:textId="77777777" w:rsidR="008772EA" w:rsidRDefault="008772EA" w:rsidP="006A74FA">
      <w:pPr>
        <w:spacing w:after="200" w:line="276" w:lineRule="auto"/>
        <w:jc w:val="both"/>
        <w:rPr>
          <w:rFonts w:ascii="Century Gothic" w:eastAsia="Calibri" w:hAnsi="Century Gothic" w:cs="Times New Roman"/>
          <w:iCs/>
          <w:color w:val="7C7C7B"/>
          <w:sz w:val="21"/>
          <w:szCs w:val="21"/>
        </w:rPr>
      </w:pPr>
    </w:p>
    <w:p w14:paraId="5BA7A459" w14:textId="77777777" w:rsidR="008772EA" w:rsidRDefault="008772EA" w:rsidP="006A74FA">
      <w:pPr>
        <w:spacing w:after="200" w:line="276" w:lineRule="auto"/>
        <w:jc w:val="both"/>
        <w:rPr>
          <w:rFonts w:ascii="Century Gothic" w:eastAsia="Calibri" w:hAnsi="Century Gothic" w:cs="Times New Roman"/>
          <w:iCs/>
          <w:color w:val="7C7C7B"/>
          <w:sz w:val="21"/>
          <w:szCs w:val="21"/>
        </w:rPr>
      </w:pPr>
    </w:p>
    <w:p w14:paraId="4958DBFF" w14:textId="77777777" w:rsidR="006A74FA" w:rsidRPr="0089450F" w:rsidRDefault="008772EA" w:rsidP="006A74FA">
      <w:pPr>
        <w:spacing w:after="200" w:line="276" w:lineRule="auto"/>
        <w:jc w:val="both"/>
        <w:rPr>
          <w:rFonts w:ascii="Century Gothic" w:eastAsia="Calibri" w:hAnsi="Century Gothic" w:cs="Times New Roman"/>
          <w:iCs/>
          <w:color w:val="7C7C7B"/>
          <w:sz w:val="21"/>
          <w:szCs w:val="21"/>
        </w:rPr>
      </w:pPr>
      <w:r>
        <w:rPr>
          <w:rFonts w:ascii="Century Gothic" w:eastAsia="Calibri" w:hAnsi="Century Gothic" w:cs="Times New Roman"/>
          <w:iCs/>
          <w:color w:val="7C7C7B"/>
          <w:sz w:val="21"/>
          <w:szCs w:val="21"/>
        </w:rPr>
        <w:lastRenderedPageBreak/>
        <w:t>Se</w:t>
      </w:r>
      <w:r w:rsidR="006A74FA" w:rsidRPr="0089450F">
        <w:rPr>
          <w:rFonts w:ascii="Century Gothic" w:eastAsia="Calibri" w:hAnsi="Century Gothic" w:cs="Times New Roman"/>
          <w:iCs/>
          <w:color w:val="7C7C7B"/>
          <w:sz w:val="21"/>
          <w:szCs w:val="21"/>
        </w:rPr>
        <w:t xml:space="preserve"> extiende un agradecimiento a los equipos técnicos de las Coordinaciones Zonales y la Dirección de Cartografía Estadística y Operaciones de Campo, por su colaboración: </w:t>
      </w:r>
    </w:p>
    <w:p w14:paraId="70FCB487" w14:textId="77777777" w:rsidR="006A74FA" w:rsidRPr="0089450F" w:rsidRDefault="00BD2C91" w:rsidP="006A74FA">
      <w:pPr>
        <w:tabs>
          <w:tab w:val="center" w:pos="4252"/>
          <w:tab w:val="right" w:pos="8504"/>
        </w:tabs>
        <w:jc w:val="both"/>
        <w:rPr>
          <w:rFonts w:ascii="Century Gothic" w:eastAsia="Calibri" w:hAnsi="Century Gothic" w:cs="Arial"/>
          <w:b/>
          <w:iCs/>
          <w:color w:val="6E6E7C"/>
          <w:sz w:val="21"/>
          <w:szCs w:val="21"/>
        </w:rPr>
      </w:pPr>
      <w:r>
        <w:rPr>
          <w:rFonts w:ascii="Century Gothic" w:eastAsia="Calibri" w:hAnsi="Century Gothic" w:cs="Arial"/>
          <w:b/>
          <w:iCs/>
          <w:color w:val="6E6E7C"/>
          <w:sz w:val="21"/>
          <w:szCs w:val="21"/>
        </w:rPr>
        <w:t xml:space="preserve">   </w:t>
      </w:r>
      <w:r w:rsidR="006A74FA" w:rsidRPr="0089450F">
        <w:rPr>
          <w:rFonts w:ascii="Century Gothic" w:eastAsia="Calibri" w:hAnsi="Century Gothic" w:cs="Arial"/>
          <w:b/>
          <w:iCs/>
          <w:color w:val="6E6E7C"/>
          <w:sz w:val="21"/>
          <w:szCs w:val="21"/>
        </w:rPr>
        <w:t>Administración Central Campo - DICA</w:t>
      </w:r>
    </w:p>
    <w:p w14:paraId="29A698A7"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roofErr w:type="spellStart"/>
      <w:r w:rsidRPr="0089450F">
        <w:rPr>
          <w:rFonts w:ascii="Century Gothic" w:eastAsia="Calibri" w:hAnsi="Century Gothic" w:cs="Arial"/>
          <w:iCs/>
          <w:color w:val="6E6E7C"/>
          <w:sz w:val="21"/>
          <w:szCs w:val="21"/>
        </w:rPr>
        <w:t>Shyrley</w:t>
      </w:r>
      <w:proofErr w:type="spellEnd"/>
      <w:r w:rsidRPr="0089450F">
        <w:rPr>
          <w:rFonts w:ascii="Century Gothic" w:eastAsia="Calibri" w:hAnsi="Century Gothic" w:cs="Arial"/>
          <w:iCs/>
          <w:color w:val="6E6E7C"/>
          <w:sz w:val="21"/>
          <w:szCs w:val="21"/>
        </w:rPr>
        <w:t xml:space="preserve"> Padilla</w:t>
      </w:r>
    </w:p>
    <w:p w14:paraId="773B1103"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r w:rsidRPr="0089450F">
        <w:rPr>
          <w:rFonts w:ascii="Century Gothic" w:eastAsia="Calibri" w:hAnsi="Century Gothic" w:cs="Arial"/>
          <w:iCs/>
          <w:color w:val="6E6E7C"/>
          <w:sz w:val="21"/>
          <w:szCs w:val="21"/>
        </w:rPr>
        <w:t>Gabriela Silva</w:t>
      </w:r>
    </w:p>
    <w:p w14:paraId="300891D5"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roofErr w:type="spellStart"/>
      <w:r w:rsidRPr="0089450F">
        <w:rPr>
          <w:rFonts w:ascii="Century Gothic" w:eastAsia="Calibri" w:hAnsi="Century Gothic" w:cs="Arial"/>
          <w:iCs/>
          <w:color w:val="6E6E7C"/>
          <w:sz w:val="21"/>
          <w:szCs w:val="21"/>
        </w:rPr>
        <w:t>Mishell</w:t>
      </w:r>
      <w:proofErr w:type="spellEnd"/>
      <w:r w:rsidRPr="0089450F">
        <w:rPr>
          <w:rFonts w:ascii="Century Gothic" w:eastAsia="Calibri" w:hAnsi="Century Gothic" w:cs="Arial"/>
          <w:iCs/>
          <w:color w:val="6E6E7C"/>
          <w:sz w:val="21"/>
          <w:szCs w:val="21"/>
        </w:rPr>
        <w:t xml:space="preserve"> Pérez</w:t>
      </w:r>
    </w:p>
    <w:p w14:paraId="53CF6807"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56D6B19A" w14:textId="77777777" w:rsidR="006A74FA" w:rsidRPr="0089450F" w:rsidRDefault="006A74FA" w:rsidP="006A74FA">
      <w:pPr>
        <w:tabs>
          <w:tab w:val="center" w:pos="4252"/>
          <w:tab w:val="right" w:pos="8504"/>
        </w:tabs>
        <w:ind w:left="851" w:hanging="709"/>
        <w:jc w:val="both"/>
        <w:rPr>
          <w:rFonts w:ascii="Century Gothic" w:eastAsia="Calibri" w:hAnsi="Century Gothic" w:cs="Arial"/>
          <w:b/>
          <w:iCs/>
          <w:color w:val="6E6E7C"/>
          <w:sz w:val="21"/>
          <w:szCs w:val="21"/>
        </w:rPr>
      </w:pPr>
      <w:r w:rsidRPr="0089450F">
        <w:rPr>
          <w:rFonts w:ascii="Century Gothic" w:eastAsia="Calibri" w:hAnsi="Century Gothic" w:cs="Arial"/>
          <w:b/>
          <w:iCs/>
          <w:color w:val="6E6E7C"/>
          <w:sz w:val="21"/>
          <w:szCs w:val="21"/>
        </w:rPr>
        <w:t>Coordinación Zonal Litoral</w:t>
      </w:r>
    </w:p>
    <w:p w14:paraId="056851B7"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lang w:val="en-US"/>
        </w:rPr>
      </w:pPr>
      <w:r w:rsidRPr="0089450F">
        <w:rPr>
          <w:rFonts w:ascii="Century Gothic" w:eastAsia="Calibri" w:hAnsi="Century Gothic" w:cs="Arial"/>
          <w:iCs/>
          <w:color w:val="6E6E7C"/>
          <w:sz w:val="21"/>
          <w:szCs w:val="21"/>
          <w:lang w:val="en-US"/>
        </w:rPr>
        <w:t>Joffre León</w:t>
      </w:r>
    </w:p>
    <w:p w14:paraId="0E139B1F"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lang w:val="en-US"/>
        </w:rPr>
      </w:pPr>
      <w:r w:rsidRPr="0089450F">
        <w:rPr>
          <w:rFonts w:ascii="Century Gothic" w:eastAsia="Calibri" w:hAnsi="Century Gothic" w:cs="Arial"/>
          <w:iCs/>
          <w:color w:val="6E6E7C"/>
          <w:sz w:val="21"/>
          <w:szCs w:val="21"/>
          <w:lang w:val="en-US"/>
        </w:rPr>
        <w:t>Johanna Alban</w:t>
      </w:r>
    </w:p>
    <w:p w14:paraId="2132AC3C"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lang w:val="en-US"/>
        </w:rPr>
      </w:pPr>
      <w:r w:rsidRPr="0089450F">
        <w:rPr>
          <w:rFonts w:ascii="Century Gothic" w:eastAsia="Calibri" w:hAnsi="Century Gothic" w:cs="Arial"/>
          <w:iCs/>
          <w:color w:val="6E6E7C"/>
          <w:sz w:val="21"/>
          <w:szCs w:val="21"/>
          <w:lang w:val="en-US"/>
        </w:rPr>
        <w:t xml:space="preserve">Johnny </w:t>
      </w:r>
      <w:proofErr w:type="spellStart"/>
      <w:r w:rsidRPr="0089450F">
        <w:rPr>
          <w:rFonts w:ascii="Century Gothic" w:eastAsia="Calibri" w:hAnsi="Century Gothic" w:cs="Arial"/>
          <w:iCs/>
          <w:color w:val="6E6E7C"/>
          <w:sz w:val="21"/>
          <w:szCs w:val="21"/>
          <w:lang w:val="en-US"/>
        </w:rPr>
        <w:t>Calixto</w:t>
      </w:r>
      <w:proofErr w:type="spellEnd"/>
    </w:p>
    <w:p w14:paraId="30064793"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lang w:val="en-US"/>
        </w:rPr>
      </w:pPr>
    </w:p>
    <w:p w14:paraId="7BF49AB4" w14:textId="77777777" w:rsidR="006A74FA" w:rsidRPr="0089450F" w:rsidRDefault="006A74FA" w:rsidP="006A74FA">
      <w:pPr>
        <w:tabs>
          <w:tab w:val="center" w:pos="4252"/>
          <w:tab w:val="right" w:pos="8504"/>
        </w:tabs>
        <w:ind w:left="851" w:hanging="709"/>
        <w:jc w:val="both"/>
        <w:rPr>
          <w:rFonts w:ascii="Century Gothic" w:eastAsia="Calibri" w:hAnsi="Century Gothic" w:cs="Arial"/>
          <w:b/>
          <w:iCs/>
          <w:color w:val="6E6E7C"/>
          <w:sz w:val="21"/>
          <w:szCs w:val="21"/>
        </w:rPr>
      </w:pPr>
      <w:r w:rsidRPr="0089450F">
        <w:rPr>
          <w:rFonts w:ascii="Century Gothic" w:eastAsia="Calibri" w:hAnsi="Century Gothic" w:cs="Arial"/>
          <w:b/>
          <w:iCs/>
          <w:color w:val="6E6E7C"/>
          <w:sz w:val="21"/>
          <w:szCs w:val="21"/>
        </w:rPr>
        <w:t>Coordinación Zonal Centro</w:t>
      </w:r>
    </w:p>
    <w:p w14:paraId="71DFF674"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r w:rsidRPr="0089450F">
        <w:rPr>
          <w:rFonts w:ascii="Century Gothic" w:eastAsia="Calibri" w:hAnsi="Century Gothic" w:cs="Arial"/>
          <w:iCs/>
          <w:color w:val="6E6E7C"/>
          <w:sz w:val="21"/>
          <w:szCs w:val="21"/>
        </w:rPr>
        <w:t>Jorge Almeida</w:t>
      </w:r>
    </w:p>
    <w:p w14:paraId="37FEC524"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r w:rsidRPr="0089450F">
        <w:rPr>
          <w:rFonts w:ascii="Century Gothic" w:eastAsia="Calibri" w:hAnsi="Century Gothic" w:cs="Arial"/>
          <w:iCs/>
          <w:color w:val="6E6E7C"/>
          <w:sz w:val="21"/>
          <w:szCs w:val="21"/>
        </w:rPr>
        <w:t>Patricia Pico</w:t>
      </w:r>
    </w:p>
    <w:p w14:paraId="43DDB970"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C1FE2D8" w14:textId="77777777" w:rsidR="006A74FA" w:rsidRPr="0089450F" w:rsidRDefault="006A74FA" w:rsidP="006A74FA">
      <w:pPr>
        <w:tabs>
          <w:tab w:val="center" w:pos="4252"/>
          <w:tab w:val="right" w:pos="8504"/>
        </w:tabs>
        <w:ind w:left="851" w:hanging="709"/>
        <w:jc w:val="both"/>
        <w:rPr>
          <w:rFonts w:ascii="Century Gothic" w:eastAsia="Calibri" w:hAnsi="Century Gothic" w:cs="Arial"/>
          <w:b/>
          <w:iCs/>
          <w:color w:val="6E6E7C"/>
          <w:sz w:val="21"/>
          <w:szCs w:val="21"/>
        </w:rPr>
      </w:pPr>
      <w:r w:rsidRPr="0089450F">
        <w:rPr>
          <w:rFonts w:ascii="Century Gothic" w:eastAsia="Calibri" w:hAnsi="Century Gothic" w:cs="Arial"/>
          <w:b/>
          <w:iCs/>
          <w:color w:val="6E6E7C"/>
          <w:sz w:val="21"/>
          <w:szCs w:val="21"/>
        </w:rPr>
        <w:t>Coordinación Zonal Sur</w:t>
      </w:r>
    </w:p>
    <w:p w14:paraId="5E4E342F"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r w:rsidRPr="0089450F">
        <w:rPr>
          <w:rFonts w:ascii="Century Gothic" w:eastAsia="Calibri" w:hAnsi="Century Gothic" w:cs="Arial"/>
          <w:iCs/>
          <w:color w:val="6E6E7C"/>
          <w:sz w:val="21"/>
          <w:szCs w:val="21"/>
        </w:rPr>
        <w:t>Lourdes Fajardo</w:t>
      </w:r>
    </w:p>
    <w:p w14:paraId="7934E65B"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r w:rsidRPr="0089450F">
        <w:rPr>
          <w:rFonts w:ascii="Century Gothic" w:eastAsia="Calibri" w:hAnsi="Century Gothic" w:cs="Arial"/>
          <w:iCs/>
          <w:color w:val="6E6E7C"/>
          <w:sz w:val="21"/>
          <w:szCs w:val="21"/>
        </w:rPr>
        <w:t>Lorena Quito</w:t>
      </w:r>
    </w:p>
    <w:p w14:paraId="7D7637DA"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r w:rsidRPr="0089450F">
        <w:rPr>
          <w:rFonts w:ascii="Century Gothic" w:eastAsia="Calibri" w:hAnsi="Century Gothic" w:cs="Arial"/>
          <w:iCs/>
          <w:color w:val="6E6E7C"/>
          <w:sz w:val="21"/>
          <w:szCs w:val="21"/>
        </w:rPr>
        <w:t>Julio Vergara</w:t>
      </w:r>
    </w:p>
    <w:p w14:paraId="3B499DB5"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1233F7CE"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6EB66583"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66613DF6"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3B92EB72"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0E5F4F88"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797AC315"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759B030C"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56D0DE77"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5F365DB"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0597483F"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17BB4985"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07002260"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B33730D"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6FD179B5"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5237199A"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6DE04BC"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E686755"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7650E2D8"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181B76CD"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70A95389"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AF6B066"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54D9F5D2"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48B85F0B"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6422F618"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C47F367"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5F51737C"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52C8374F"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65FEB4AD"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77664F06"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AF294E3"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37469E1C" w14:textId="77777777" w:rsidR="006A74FA" w:rsidRPr="0089450F" w:rsidRDefault="006A74FA" w:rsidP="006A74FA">
      <w:pPr>
        <w:tabs>
          <w:tab w:val="center" w:pos="4252"/>
          <w:tab w:val="right" w:pos="8504"/>
        </w:tabs>
        <w:ind w:left="851" w:hanging="709"/>
        <w:jc w:val="both"/>
        <w:rPr>
          <w:rFonts w:ascii="Century Gothic" w:eastAsia="Calibri" w:hAnsi="Century Gothic" w:cs="Arial"/>
          <w:iCs/>
          <w:color w:val="6E6E7C"/>
          <w:sz w:val="21"/>
          <w:szCs w:val="21"/>
        </w:rPr>
      </w:pPr>
    </w:p>
    <w:p w14:paraId="2B2C6340" w14:textId="77777777" w:rsidR="006A74FA" w:rsidRPr="0089450F" w:rsidRDefault="006A74FA" w:rsidP="006A74FA">
      <w:pPr>
        <w:pStyle w:val="Ttulo3"/>
        <w:ind w:left="567" w:hanging="207"/>
        <w:jc w:val="center"/>
        <w:rPr>
          <w:color w:val="595959" w:themeColor="text1" w:themeTint="A6"/>
          <w:sz w:val="40"/>
        </w:rPr>
      </w:pPr>
      <w:bookmarkStart w:id="27" w:name="_Toc155793851"/>
      <w:bookmarkStart w:id="28" w:name="_Toc161322534"/>
      <w:bookmarkStart w:id="29" w:name="_Hlk157540711"/>
      <w:r w:rsidRPr="0089450F">
        <w:rPr>
          <w:color w:val="595959" w:themeColor="text1" w:themeTint="A6"/>
          <w:sz w:val="40"/>
        </w:rPr>
        <w:lastRenderedPageBreak/>
        <w:t>Resumen ejecutivo</w:t>
      </w:r>
      <w:bookmarkEnd w:id="27"/>
      <w:bookmarkEnd w:id="28"/>
    </w:p>
    <w:p w14:paraId="60E8683D" w14:textId="77777777" w:rsidR="006A74FA" w:rsidRPr="0089450F" w:rsidRDefault="006A74FA" w:rsidP="006A74FA">
      <w:pPr>
        <w:rPr>
          <w:rFonts w:ascii="Century Gothic" w:hAnsi="Century Gothic"/>
          <w:b/>
          <w:bCs/>
          <w:color w:val="505A64"/>
          <w:sz w:val="20"/>
          <w:szCs w:val="52"/>
        </w:rPr>
      </w:pPr>
    </w:p>
    <w:p w14:paraId="4EF3CBC5" w14:textId="6EBEFB39" w:rsidR="006A74FA" w:rsidRPr="00582936" w:rsidRDefault="006A74FA" w:rsidP="006A74FA">
      <w:pPr>
        <w:spacing w:line="276" w:lineRule="auto"/>
        <w:jc w:val="both"/>
        <w:rPr>
          <w:rFonts w:ascii="Century Gothic" w:hAnsi="Century Gothic"/>
          <w:color w:val="6E6E7C"/>
          <w:sz w:val="21"/>
          <w:szCs w:val="21"/>
        </w:rPr>
      </w:pPr>
      <w:r w:rsidRPr="00582936">
        <w:rPr>
          <w:rFonts w:ascii="Century Gothic" w:hAnsi="Century Gothic"/>
          <w:color w:val="6E6E7C"/>
          <w:sz w:val="21"/>
          <w:szCs w:val="21"/>
        </w:rPr>
        <w:t xml:space="preserve">El Instituto Nacional de Estadística y Censos (INEC), entidad rectora y coordinadora del Sistema Estadístico Nacional y organismo oficial de producción de información estadística estratégica, confiable y oportuna, pone a disposición de la ciudadanía la metodología de la Encuesta Estructural Empresarial (ENESEM), correspondiente al </w:t>
      </w:r>
      <w:r w:rsidR="00CE2EB4" w:rsidRPr="00582936">
        <w:rPr>
          <w:rFonts w:ascii="Century Gothic" w:hAnsi="Century Gothic"/>
          <w:color w:val="6E6E7C"/>
          <w:sz w:val="21"/>
          <w:szCs w:val="21"/>
        </w:rPr>
        <w:t xml:space="preserve">año 2022. </w:t>
      </w:r>
      <w:r w:rsidRPr="00582936">
        <w:rPr>
          <w:rFonts w:ascii="Century Gothic" w:hAnsi="Century Gothic"/>
          <w:color w:val="6E6E7C"/>
          <w:sz w:val="21"/>
          <w:szCs w:val="21"/>
        </w:rPr>
        <w:t xml:space="preserve"> En este documento el usuario podrá revisar detalladamente el proceso de producción de la operación estadística, como el diseño muestral, recolección, procesamiento y el alcance de los resultados obtenidos.</w:t>
      </w:r>
    </w:p>
    <w:p w14:paraId="79DD15B6" w14:textId="77777777" w:rsidR="006A74FA" w:rsidRPr="00582936" w:rsidRDefault="006A74FA" w:rsidP="006A74FA">
      <w:pPr>
        <w:spacing w:line="276" w:lineRule="auto"/>
        <w:jc w:val="both"/>
        <w:rPr>
          <w:rFonts w:ascii="Century Gothic" w:hAnsi="Century Gothic"/>
          <w:color w:val="6E6E7C"/>
          <w:sz w:val="21"/>
          <w:szCs w:val="21"/>
        </w:rPr>
      </w:pPr>
    </w:p>
    <w:p w14:paraId="3196DC75" w14:textId="77777777" w:rsidR="006A74FA" w:rsidRPr="00582936" w:rsidRDefault="006A74FA" w:rsidP="006A74FA">
      <w:pPr>
        <w:spacing w:line="276" w:lineRule="auto"/>
        <w:jc w:val="both"/>
        <w:rPr>
          <w:rFonts w:ascii="Century Gothic" w:hAnsi="Century Gothic"/>
          <w:color w:val="6E6E7C"/>
          <w:sz w:val="21"/>
          <w:szCs w:val="21"/>
        </w:rPr>
      </w:pPr>
      <w:r w:rsidRPr="00582936">
        <w:rPr>
          <w:rFonts w:ascii="Century Gothic" w:hAnsi="Century Gothic"/>
          <w:color w:val="6E6E7C"/>
          <w:sz w:val="21"/>
          <w:szCs w:val="21"/>
        </w:rPr>
        <w:t>La ENESEM es una encuesta de periodicidad anual que tiene como dominio de estudio a las empresas grandes y medianas de los sectores de Manufactura, Minería, Construcción, Comercio y Servicios. La finalidad de la encuesta es generar estadísticas sobre la estructura económica y la producción del sector empresarial y así facilitar el diseño y evaluación de las políticas públicas y la toma de decisiones del sector privado. El diseño muestral de la operación estadística contempla la inclusión forzosa para las grandes empresas y el muestreo probabilístico de elementos con selección aleatoria para las medianas empresas, por lo cual, los resultados emitidos para las principales variables son representativos a nivel del dominio de estudio.</w:t>
      </w:r>
    </w:p>
    <w:p w14:paraId="0394395E" w14:textId="77777777" w:rsidR="006A74FA" w:rsidRPr="00582936" w:rsidRDefault="006A74FA" w:rsidP="006A74FA">
      <w:pPr>
        <w:spacing w:line="276" w:lineRule="auto"/>
        <w:jc w:val="both"/>
        <w:rPr>
          <w:rFonts w:ascii="Century Gothic" w:hAnsi="Century Gothic"/>
          <w:color w:val="6E6E7C"/>
          <w:sz w:val="21"/>
          <w:szCs w:val="21"/>
        </w:rPr>
      </w:pPr>
    </w:p>
    <w:p w14:paraId="68697BDA" w14:textId="77777777" w:rsidR="006A74FA" w:rsidRPr="00582936" w:rsidRDefault="006A74FA" w:rsidP="006A74FA">
      <w:pPr>
        <w:spacing w:line="276" w:lineRule="auto"/>
        <w:jc w:val="both"/>
        <w:rPr>
          <w:rFonts w:ascii="Century Gothic" w:hAnsi="Century Gothic"/>
          <w:color w:val="6E6E7C"/>
          <w:sz w:val="21"/>
          <w:szCs w:val="21"/>
        </w:rPr>
      </w:pPr>
      <w:r w:rsidRPr="00582936">
        <w:rPr>
          <w:rFonts w:ascii="Century Gothic" w:hAnsi="Century Gothic"/>
          <w:color w:val="6E6E7C"/>
          <w:sz w:val="21"/>
          <w:szCs w:val="21"/>
        </w:rPr>
        <w:t>Los principales resultados de la ENESEM corresponden a los agregados económicos empresariales como producción, consumo intermedio, valor agregado, remuneraciones y formación bruta de capital fijo, entre otros, con representatividad a nivel de dominio de estudio. La información obtenida es de utilidad para el Banco Central del Ecuador como insumo base para la elaboración de las estadísticas de síntesis, para la generación de las cuentas nacionales. Sin embargo, aun cuando el marco metodológico de la ENESEM se basa en el Sistema de Cuentas Nacionales 2008, no se puede comparar directamente los agregados empresariales de la encuesta con las cuentas nacionales.</w:t>
      </w:r>
    </w:p>
    <w:p w14:paraId="31C13695" w14:textId="77777777" w:rsidR="006A74FA" w:rsidRPr="00582936" w:rsidRDefault="006A74FA" w:rsidP="006A74FA">
      <w:pPr>
        <w:spacing w:line="276" w:lineRule="auto"/>
        <w:jc w:val="both"/>
        <w:rPr>
          <w:rFonts w:ascii="Century Gothic" w:hAnsi="Century Gothic"/>
          <w:color w:val="6E6E7C"/>
          <w:sz w:val="21"/>
          <w:szCs w:val="21"/>
        </w:rPr>
      </w:pPr>
    </w:p>
    <w:p w14:paraId="5C57CA8B" w14:textId="77777777" w:rsidR="006A74FA" w:rsidRPr="00582936" w:rsidRDefault="006A74FA" w:rsidP="006A74FA">
      <w:pPr>
        <w:spacing w:line="276" w:lineRule="auto"/>
        <w:jc w:val="both"/>
        <w:rPr>
          <w:rFonts w:ascii="Century Gothic" w:hAnsi="Century Gothic"/>
          <w:color w:val="6E6E7C"/>
          <w:sz w:val="21"/>
          <w:szCs w:val="21"/>
        </w:rPr>
      </w:pPr>
      <w:r w:rsidRPr="00582936">
        <w:rPr>
          <w:rFonts w:ascii="Century Gothic" w:hAnsi="Century Gothic"/>
          <w:color w:val="6E6E7C"/>
          <w:sz w:val="21"/>
          <w:szCs w:val="21"/>
        </w:rPr>
        <w:t xml:space="preserve">Comprometidos con la calidad y oportunidad de las estadísticas empresariales, el INEC trabaja en la implementación de mejoras continuas en el proceso de producción estadística, por lo cual la ENESEM se ha enfocado en el aprovechamiento de los registros administrativos disponibles y la automatización de procesos, actividades que se han ejecutado en la ronda actual de la operación estadística. </w:t>
      </w:r>
    </w:p>
    <w:p w14:paraId="2F021D39" w14:textId="77777777" w:rsidR="006A74FA" w:rsidRDefault="006A74FA" w:rsidP="006A74FA">
      <w:pPr>
        <w:rPr>
          <w:rFonts w:ascii="Century Gothic" w:hAnsi="Century Gothic"/>
          <w:b/>
          <w:bCs/>
          <w:color w:val="6E6E7C"/>
          <w:sz w:val="52"/>
          <w:szCs w:val="52"/>
        </w:rPr>
      </w:pPr>
    </w:p>
    <w:p w14:paraId="7F27EEAB" w14:textId="77777777" w:rsidR="00897A16" w:rsidRPr="00582936" w:rsidRDefault="00897A16" w:rsidP="006A74FA">
      <w:pPr>
        <w:rPr>
          <w:rFonts w:ascii="Century Gothic" w:hAnsi="Century Gothic"/>
          <w:b/>
          <w:bCs/>
          <w:color w:val="6E6E7C"/>
          <w:sz w:val="52"/>
          <w:szCs w:val="52"/>
        </w:rPr>
      </w:pPr>
    </w:p>
    <w:p w14:paraId="39FC0398" w14:textId="77777777" w:rsidR="006A74FA" w:rsidRPr="0089450F" w:rsidRDefault="006A74FA" w:rsidP="006A74FA">
      <w:pPr>
        <w:rPr>
          <w:rFonts w:ascii="Century Gothic" w:hAnsi="Century Gothic"/>
          <w:b/>
          <w:bCs/>
          <w:color w:val="505A64"/>
          <w:sz w:val="52"/>
          <w:szCs w:val="52"/>
        </w:rPr>
      </w:pPr>
    </w:p>
    <w:p w14:paraId="1422A03C" w14:textId="77777777" w:rsidR="006A74FA" w:rsidRPr="00582936" w:rsidRDefault="006A74FA" w:rsidP="003E08CF">
      <w:pPr>
        <w:pStyle w:val="Ttulo3"/>
        <w:spacing w:line="360" w:lineRule="auto"/>
        <w:ind w:left="567" w:hanging="207"/>
        <w:jc w:val="center"/>
        <w:rPr>
          <w:color w:val="6E6E7C"/>
          <w:sz w:val="40"/>
        </w:rPr>
      </w:pPr>
      <w:bookmarkStart w:id="30" w:name="_Toc134781807"/>
      <w:bookmarkStart w:id="31" w:name="_Toc155793852"/>
      <w:bookmarkStart w:id="32" w:name="_Toc161322535"/>
      <w:r w:rsidRPr="00582936">
        <w:rPr>
          <w:color w:val="6E6E7C"/>
          <w:sz w:val="40"/>
        </w:rPr>
        <w:lastRenderedPageBreak/>
        <w:t>Introducción</w:t>
      </w:r>
      <w:bookmarkEnd w:id="30"/>
      <w:bookmarkEnd w:id="31"/>
      <w:bookmarkEnd w:id="32"/>
      <w:r w:rsidRPr="00582936">
        <w:rPr>
          <w:color w:val="6E6E7C"/>
          <w:sz w:val="40"/>
        </w:rPr>
        <w:t xml:space="preserve"> </w:t>
      </w:r>
    </w:p>
    <w:p w14:paraId="0F69D240" w14:textId="77777777" w:rsidR="006A74FA" w:rsidRPr="00582936" w:rsidRDefault="006A74FA" w:rsidP="006A74FA">
      <w:pPr>
        <w:spacing w:line="276" w:lineRule="auto"/>
        <w:jc w:val="both"/>
        <w:rPr>
          <w:rFonts w:ascii="Century Gothic" w:eastAsia="Century Gothic" w:hAnsi="Century Gothic" w:cs="Century Gothic"/>
          <w:iCs/>
          <w:color w:val="6E6E7C"/>
          <w:sz w:val="21"/>
          <w:szCs w:val="21"/>
          <w:lang w:val="es-ES" w:eastAsia="es-ES" w:bidi="es-ES"/>
        </w:rPr>
      </w:pPr>
      <w:bookmarkStart w:id="33" w:name="_Toc155793853"/>
      <w:r w:rsidRPr="00582936">
        <w:rPr>
          <w:rFonts w:ascii="Century Gothic" w:eastAsia="Century Gothic" w:hAnsi="Century Gothic" w:cs="Century Gothic"/>
          <w:iCs/>
          <w:color w:val="6E6E7C"/>
          <w:sz w:val="21"/>
          <w:szCs w:val="21"/>
          <w:lang w:val="es-ES" w:eastAsia="es-ES" w:bidi="es-ES"/>
        </w:rPr>
        <w:t xml:space="preserve">El Instituto Nacional de Estadística y Censos (INEC), entidad rectora y coordinadora del Sistema Estadístico Nacional y organismo oficial de producción de información estadística estratégica, confiable y oportuna, pone a disposición de la ciudadanía la metodología de la Encuesta Estructural Empresarial (ENESEM) correspondiente al año fiscal 2022. </w:t>
      </w:r>
      <w:r w:rsidRPr="00582936">
        <w:rPr>
          <w:rFonts w:ascii="Century Gothic" w:eastAsia="Century Gothic" w:hAnsi="Century Gothic" w:cs="Century Gothic"/>
          <w:iCs/>
          <w:color w:val="6E6E7C"/>
          <w:sz w:val="21"/>
          <w:szCs w:val="21"/>
          <w:lang w:val="es-ES" w:eastAsia="es-ES" w:bidi="es-ES"/>
        </w:rPr>
        <w:cr/>
        <w:t xml:space="preserve"> </w:t>
      </w:r>
    </w:p>
    <w:p w14:paraId="69B39A6B" w14:textId="77777777" w:rsidR="006A74FA" w:rsidRPr="00582936" w:rsidRDefault="006A74FA" w:rsidP="006A74FA">
      <w:pPr>
        <w:spacing w:after="200" w:line="276" w:lineRule="auto"/>
        <w:jc w:val="both"/>
        <w:rPr>
          <w:rFonts w:ascii="Century Gothic" w:eastAsia="Century Gothic" w:hAnsi="Century Gothic" w:cs="Century Gothic"/>
          <w:b/>
          <w:bCs/>
          <w:iCs/>
          <w:color w:val="6E6E7C"/>
          <w:sz w:val="21"/>
          <w:szCs w:val="21"/>
          <w:lang w:eastAsia="es-ES" w:bidi="es-ES"/>
        </w:rPr>
      </w:pPr>
      <w:r w:rsidRPr="00582936">
        <w:rPr>
          <w:rFonts w:ascii="Century Gothic" w:eastAsia="Century Gothic" w:hAnsi="Century Gothic" w:cs="Century Gothic"/>
          <w:iCs/>
          <w:color w:val="6E6E7C"/>
          <w:sz w:val="21"/>
          <w:szCs w:val="21"/>
          <w:lang w:val="es-ES" w:eastAsia="es-ES" w:bidi="es-ES"/>
        </w:rPr>
        <w:t xml:space="preserve">El presente documento tiene como objetivo proporcionar a los usuarios un instrumento que describe la metodología y los procesos que enmarcados en el Modelo de Producción Estadística del INEC, permiten generar y presentar los resultados de la ENESEM, encuesta de periodicidad anual que </w:t>
      </w:r>
      <w:r w:rsidRPr="00582936">
        <w:rPr>
          <w:rFonts w:ascii="Century Gothic" w:eastAsia="Century Gothic" w:hAnsi="Century Gothic" w:cs="Century Gothic"/>
          <w:iCs/>
          <w:color w:val="6E6E7C"/>
          <w:sz w:val="21"/>
          <w:szCs w:val="21"/>
          <w:lang w:eastAsia="es-ES" w:bidi="es-ES"/>
        </w:rPr>
        <w:t xml:space="preserve">produce información estadística sobre la estructura económica y la producción de las grandes y medianas empresas del Ecuador, a fin de facilitar el diseño y evaluación de políticas públicas y la toma de decisiones del sector privado. Además, </w:t>
      </w:r>
      <w:r w:rsidRPr="00582936">
        <w:rPr>
          <w:rFonts w:ascii="Century Gothic" w:eastAsia="Century Gothic" w:hAnsi="Century Gothic" w:cs="Century Gothic"/>
          <w:iCs/>
          <w:color w:val="6E6E7C"/>
          <w:sz w:val="21"/>
          <w:szCs w:val="21"/>
          <w:lang w:val="es-ES" w:eastAsia="es-ES" w:bidi="es-ES"/>
        </w:rPr>
        <w:t>por su diseño metodológico representa un instrumento estadístico fundamental para estudiar la dinámica del sector empresarial en el territorio nacional.</w:t>
      </w:r>
      <w:r w:rsidRPr="00582936">
        <w:rPr>
          <w:rFonts w:ascii="Century Gothic" w:eastAsia="Century Gothic" w:hAnsi="Century Gothic" w:cs="Century Gothic"/>
          <w:b/>
          <w:bCs/>
          <w:iCs/>
          <w:color w:val="6E6E7C"/>
          <w:sz w:val="21"/>
          <w:szCs w:val="21"/>
          <w:lang w:eastAsia="es-ES" w:bidi="es-ES"/>
        </w:rPr>
        <w:t xml:space="preserve"> </w:t>
      </w:r>
    </w:p>
    <w:p w14:paraId="2A37EB6A" w14:textId="77777777" w:rsidR="006A74FA" w:rsidRPr="00582936" w:rsidRDefault="006A74FA" w:rsidP="006A74FA">
      <w:pPr>
        <w:spacing w:after="200" w:line="276" w:lineRule="auto"/>
        <w:jc w:val="both"/>
        <w:rPr>
          <w:rFonts w:ascii="Century Gothic" w:eastAsia="Century Gothic" w:hAnsi="Century Gothic" w:cs="Century Gothic"/>
          <w:iCs/>
          <w:color w:val="6E6E7C"/>
          <w:sz w:val="21"/>
          <w:szCs w:val="21"/>
          <w:lang w:eastAsia="es-ES" w:bidi="es-ES"/>
        </w:rPr>
      </w:pPr>
      <w:r w:rsidRPr="00582936">
        <w:rPr>
          <w:rFonts w:ascii="Century Gothic" w:eastAsia="Century Gothic" w:hAnsi="Century Gothic" w:cs="Century Gothic"/>
          <w:iCs/>
          <w:color w:val="6E6E7C"/>
          <w:sz w:val="21"/>
          <w:szCs w:val="21"/>
          <w:lang w:eastAsia="es-ES" w:bidi="es-ES"/>
        </w:rPr>
        <w:t>La ejecución de la operación estadística se encuentra amparada en los artículos 2</w:t>
      </w:r>
      <w:r w:rsidRPr="00582936">
        <w:rPr>
          <w:rStyle w:val="Refdenotaalpie"/>
          <w:rFonts w:ascii="Century Gothic" w:eastAsia="Century Gothic" w:hAnsi="Century Gothic" w:cs="Century Gothic"/>
          <w:iCs/>
          <w:color w:val="6E6E7C"/>
          <w:sz w:val="21"/>
          <w:szCs w:val="21"/>
          <w:lang w:eastAsia="es-ES" w:bidi="es-ES"/>
        </w:rPr>
        <w:footnoteReference w:id="2"/>
      </w:r>
      <w:r w:rsidRPr="00582936">
        <w:rPr>
          <w:rFonts w:ascii="Century Gothic" w:eastAsia="Century Gothic" w:hAnsi="Century Gothic" w:cs="Century Gothic"/>
          <w:iCs/>
          <w:color w:val="6E6E7C"/>
          <w:sz w:val="21"/>
          <w:szCs w:val="21"/>
          <w:lang w:eastAsia="es-ES" w:bidi="es-ES"/>
        </w:rPr>
        <w:t>, 20</w:t>
      </w:r>
      <w:r w:rsidRPr="00582936">
        <w:rPr>
          <w:rStyle w:val="Refdenotaalpie"/>
          <w:rFonts w:ascii="Century Gothic" w:eastAsia="Century Gothic" w:hAnsi="Century Gothic" w:cs="Century Gothic"/>
          <w:iCs/>
          <w:color w:val="6E6E7C"/>
          <w:sz w:val="21"/>
          <w:szCs w:val="21"/>
          <w:lang w:eastAsia="es-ES" w:bidi="es-ES"/>
        </w:rPr>
        <w:footnoteReference w:id="3"/>
      </w:r>
      <w:r w:rsidRPr="00582936">
        <w:rPr>
          <w:rFonts w:ascii="Century Gothic" w:eastAsia="Century Gothic" w:hAnsi="Century Gothic" w:cs="Century Gothic"/>
          <w:iCs/>
          <w:color w:val="6E6E7C"/>
          <w:sz w:val="21"/>
          <w:szCs w:val="21"/>
          <w:lang w:eastAsia="es-ES" w:bidi="es-ES"/>
        </w:rPr>
        <w:t>, 21</w:t>
      </w:r>
      <w:r w:rsidRPr="00582936">
        <w:rPr>
          <w:rStyle w:val="Refdenotaalpie"/>
          <w:rFonts w:ascii="Century Gothic" w:eastAsia="Century Gothic" w:hAnsi="Century Gothic" w:cs="Century Gothic"/>
          <w:iCs/>
          <w:color w:val="6E6E7C"/>
          <w:sz w:val="21"/>
          <w:szCs w:val="21"/>
          <w:lang w:eastAsia="es-ES" w:bidi="es-ES"/>
        </w:rPr>
        <w:footnoteReference w:id="4"/>
      </w:r>
      <w:r w:rsidRPr="00582936">
        <w:rPr>
          <w:rFonts w:ascii="Century Gothic" w:eastAsia="Century Gothic" w:hAnsi="Century Gothic" w:cs="Century Gothic"/>
          <w:iCs/>
          <w:color w:val="6E6E7C"/>
          <w:sz w:val="21"/>
          <w:szCs w:val="21"/>
          <w:lang w:eastAsia="es-ES" w:bidi="es-ES"/>
        </w:rPr>
        <w:t xml:space="preserve"> y 22</w:t>
      </w:r>
      <w:r w:rsidRPr="00582936">
        <w:rPr>
          <w:rStyle w:val="Refdenotaalpie"/>
          <w:rFonts w:ascii="Century Gothic" w:eastAsia="Century Gothic" w:hAnsi="Century Gothic" w:cs="Century Gothic"/>
          <w:iCs/>
          <w:color w:val="6E6E7C"/>
          <w:sz w:val="21"/>
          <w:szCs w:val="21"/>
          <w:lang w:eastAsia="es-ES" w:bidi="es-ES"/>
        </w:rPr>
        <w:footnoteReference w:id="5"/>
      </w:r>
      <w:r w:rsidRPr="00582936">
        <w:rPr>
          <w:rFonts w:ascii="Century Gothic" w:eastAsia="Century Gothic" w:hAnsi="Century Gothic" w:cs="Century Gothic"/>
          <w:iCs/>
          <w:color w:val="6E6E7C"/>
          <w:sz w:val="21"/>
          <w:szCs w:val="21"/>
          <w:lang w:eastAsia="es-ES" w:bidi="es-ES"/>
        </w:rPr>
        <w:t xml:space="preserve"> de la Ley de Estadística, que denotan la obligatoriedad de suministrar los datos, la presentación de resultados globales y no individuales, así como, las sanciones que podrán ser aplicadas en caso de que no exista predisposición para la entrega de datos. </w:t>
      </w:r>
    </w:p>
    <w:p w14:paraId="3E4F149B" w14:textId="416AF58C" w:rsidR="006A74FA" w:rsidRPr="00582936" w:rsidRDefault="006A74FA" w:rsidP="006A74FA">
      <w:pPr>
        <w:spacing w:after="20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t xml:space="preserve">El marco de muestreo es determinado por el </w:t>
      </w:r>
      <w:r w:rsidR="00C85D4E" w:rsidRPr="00C85D4E">
        <w:rPr>
          <w:rFonts w:ascii="Century Gothic" w:eastAsia="Century Gothic" w:hAnsi="Century Gothic" w:cs="Century Gothic"/>
          <w:iCs/>
          <w:color w:val="6E6E7C"/>
          <w:sz w:val="21"/>
          <w:szCs w:val="21"/>
          <w:lang w:val="es-ES" w:eastAsia="es-ES" w:bidi="es-ES"/>
        </w:rPr>
        <w:t xml:space="preserve">Registro Estadístico de Empresas </w:t>
      </w:r>
      <w:r w:rsidRPr="00582936">
        <w:rPr>
          <w:rFonts w:ascii="Century Gothic" w:eastAsia="Century Gothic" w:hAnsi="Century Gothic" w:cs="Century Gothic"/>
          <w:iCs/>
          <w:color w:val="6E6E7C"/>
          <w:sz w:val="21"/>
          <w:szCs w:val="21"/>
          <w:lang w:val="es-ES" w:eastAsia="es-ES" w:bidi="es-ES"/>
        </w:rPr>
        <w:t>(</w:t>
      </w:r>
      <w:r w:rsidR="00C85D4E">
        <w:rPr>
          <w:rFonts w:ascii="Century Gothic" w:eastAsia="Century Gothic" w:hAnsi="Century Gothic" w:cs="Century Gothic"/>
          <w:iCs/>
          <w:color w:val="6E6E7C"/>
          <w:sz w:val="21"/>
          <w:szCs w:val="21"/>
          <w:lang w:val="es-ES" w:eastAsia="es-ES" w:bidi="es-ES"/>
        </w:rPr>
        <w:t>REEM</w:t>
      </w:r>
      <w:r w:rsidRPr="00582936">
        <w:rPr>
          <w:rFonts w:ascii="Century Gothic" w:eastAsia="Century Gothic" w:hAnsi="Century Gothic" w:cs="Century Gothic"/>
          <w:iCs/>
          <w:color w:val="6E6E7C"/>
          <w:sz w:val="21"/>
          <w:szCs w:val="21"/>
          <w:lang w:val="es-ES" w:eastAsia="es-ES" w:bidi="es-ES"/>
        </w:rPr>
        <w:t>) 2021</w:t>
      </w:r>
      <w:r w:rsidRPr="00582936">
        <w:rPr>
          <w:rFonts w:ascii="Century Gothic" w:eastAsia="Century Gothic" w:hAnsi="Century Gothic" w:cs="Century Gothic"/>
          <w:iCs/>
          <w:color w:val="6E6E7C"/>
          <w:sz w:val="21"/>
          <w:szCs w:val="21"/>
          <w:vertAlign w:val="superscript"/>
          <w:lang w:val="es-ES" w:eastAsia="es-ES" w:bidi="es-ES"/>
        </w:rPr>
        <w:footnoteReference w:id="6"/>
      </w:r>
      <w:r w:rsidRPr="00582936">
        <w:rPr>
          <w:rFonts w:ascii="Century Gothic" w:eastAsia="Century Gothic" w:hAnsi="Century Gothic" w:cs="Century Gothic"/>
          <w:iCs/>
          <w:color w:val="6E6E7C"/>
          <w:sz w:val="21"/>
          <w:szCs w:val="21"/>
          <w:lang w:val="es-ES" w:eastAsia="es-ES" w:bidi="es-ES"/>
        </w:rPr>
        <w:t>; mismo que para la presente investigación fue de 14.100 empresas, a partir del que se diseñó una muestra de tamaño igual a 4.307 empresas; para finalmente obtener información efectiva de 3.95</w:t>
      </w:r>
      <w:r w:rsidR="00AC73AF">
        <w:rPr>
          <w:rFonts w:ascii="Century Gothic" w:eastAsia="Century Gothic" w:hAnsi="Century Gothic" w:cs="Century Gothic"/>
          <w:iCs/>
          <w:color w:val="6E6E7C"/>
          <w:sz w:val="21"/>
          <w:szCs w:val="21"/>
          <w:lang w:val="es-ES" w:eastAsia="es-ES" w:bidi="es-ES"/>
        </w:rPr>
        <w:t>6</w:t>
      </w:r>
      <w:r w:rsidR="003A4122">
        <w:rPr>
          <w:rStyle w:val="Refdenotaalpie"/>
          <w:rFonts w:ascii="Century Gothic" w:eastAsia="Century Gothic" w:hAnsi="Century Gothic" w:cs="Century Gothic"/>
          <w:iCs/>
          <w:color w:val="6E6E7C"/>
          <w:sz w:val="21"/>
          <w:szCs w:val="21"/>
          <w:lang w:val="es-ES" w:eastAsia="es-ES" w:bidi="es-ES"/>
        </w:rPr>
        <w:footnoteReference w:id="7"/>
      </w:r>
      <w:r w:rsidRPr="00582936">
        <w:rPr>
          <w:rFonts w:ascii="Century Gothic" w:eastAsia="Century Gothic" w:hAnsi="Century Gothic" w:cs="Century Gothic"/>
          <w:iCs/>
          <w:color w:val="6E6E7C"/>
          <w:sz w:val="21"/>
          <w:szCs w:val="21"/>
          <w:lang w:val="es-ES" w:eastAsia="es-ES" w:bidi="es-ES"/>
        </w:rPr>
        <w:t xml:space="preserve"> empresas medianas y grandes, de los sectores de manufactura, comercio, servicios, minería y construcción. Cabe indicar que, las empresas grandes son de inclusión forzosa, mientras que, para las empresas medianas se toma una muestra probabilística aleatoria. La cobertura geográfica de la encuesta es nacional, y la información puede ser desagregada por tamaño de empresa y rama de actividad a un dígito (letra) de la Clasificación Internacional Industrial Uniforme, revisión 4.0 (CIIU 4). </w:t>
      </w:r>
    </w:p>
    <w:p w14:paraId="7AD642A4" w14:textId="77777777" w:rsidR="006A74FA" w:rsidRPr="00582936" w:rsidRDefault="006A74FA" w:rsidP="006A74FA">
      <w:pPr>
        <w:spacing w:after="20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lastRenderedPageBreak/>
        <w:t>Así también, se describe de manera detallada la ejecución de la operación estadística,</w:t>
      </w:r>
      <w:r>
        <w:rPr>
          <w:rFonts w:ascii="Century Gothic" w:eastAsia="Century Gothic" w:hAnsi="Century Gothic" w:cs="Century Gothic"/>
          <w:iCs/>
          <w:color w:val="6E6E7C"/>
          <w:sz w:val="21"/>
          <w:szCs w:val="21"/>
          <w:lang w:val="es-ES" w:eastAsia="es-ES" w:bidi="es-ES"/>
        </w:rPr>
        <w:t xml:space="preserve"> y</w:t>
      </w:r>
      <w:r w:rsidRPr="00582936">
        <w:rPr>
          <w:rFonts w:ascii="Century Gothic" w:eastAsia="Century Gothic" w:hAnsi="Century Gothic" w:cs="Century Gothic"/>
          <w:iCs/>
          <w:color w:val="6E6E7C"/>
          <w:sz w:val="21"/>
          <w:szCs w:val="21"/>
          <w:lang w:val="es-ES" w:eastAsia="es-ES" w:bidi="es-ES"/>
        </w:rPr>
        <w:t xml:space="preserve"> se pormenorizan las fases de producción de la encuesta, desde la planificación hasta su evaluación. </w:t>
      </w:r>
    </w:p>
    <w:p w14:paraId="08C78099" w14:textId="77777777" w:rsidR="00897A16" w:rsidRPr="00897A16" w:rsidRDefault="00897A16" w:rsidP="00897A16">
      <w:pPr>
        <w:spacing w:after="120"/>
        <w:jc w:val="both"/>
        <w:rPr>
          <w:rFonts w:ascii="Century Gothic" w:eastAsia="Century Gothic" w:hAnsi="Century Gothic" w:cs="Century Gothic"/>
          <w:iCs/>
          <w:color w:val="6E6E7C"/>
          <w:sz w:val="21"/>
          <w:szCs w:val="21"/>
          <w:lang w:val="es-ES" w:eastAsia="es-ES" w:bidi="es-ES"/>
        </w:rPr>
      </w:pPr>
      <w:r w:rsidRPr="00897A16">
        <w:rPr>
          <w:rFonts w:ascii="Century Gothic" w:eastAsia="Century Gothic" w:hAnsi="Century Gothic" w:cs="Century Gothic"/>
          <w:iCs/>
          <w:color w:val="6E6E7C"/>
          <w:sz w:val="21"/>
          <w:szCs w:val="21"/>
          <w:lang w:val="es-ES" w:eastAsia="es-ES" w:bidi="es-ES"/>
        </w:rPr>
        <w:t xml:space="preserve">La operación estadística se genera considerando las fases y procesos establecidos en el Modelo de Producción Estadística, mientras que el manual metodológico por sus características muestra aspectos técnicos y metodológicos relevantes, razón por la cual, se estructura de modo que el usuario comprenda el proceso para generar una operación estadística. </w:t>
      </w:r>
    </w:p>
    <w:p w14:paraId="689D1A2A" w14:textId="77777777" w:rsidR="00897A16" w:rsidRDefault="006A74FA" w:rsidP="006A74FA">
      <w:pPr>
        <w:spacing w:after="20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t xml:space="preserve">El documento se compone de </w:t>
      </w:r>
      <w:r w:rsidR="008772EA">
        <w:rPr>
          <w:rFonts w:ascii="Century Gothic" w:eastAsia="Century Gothic" w:hAnsi="Century Gothic" w:cs="Century Gothic"/>
          <w:iCs/>
          <w:color w:val="6E6E7C"/>
          <w:sz w:val="21"/>
          <w:szCs w:val="21"/>
          <w:lang w:val="es-ES" w:eastAsia="es-ES" w:bidi="es-ES"/>
        </w:rPr>
        <w:t>cinco secciones; en la primera</w:t>
      </w:r>
      <w:r w:rsidRPr="00582936">
        <w:rPr>
          <w:rFonts w:ascii="Century Gothic" w:eastAsia="Century Gothic" w:hAnsi="Century Gothic" w:cs="Century Gothic"/>
          <w:iCs/>
          <w:color w:val="6E6E7C"/>
          <w:sz w:val="21"/>
          <w:szCs w:val="21"/>
          <w:lang w:val="es-ES" w:eastAsia="es-ES" w:bidi="es-ES"/>
        </w:rPr>
        <w:t xml:space="preserve"> se presentan los elementos para planificar y conceptualizar la operación estadística, en donde, se detalla la relevancia, las necesidades y usos de la información que se desea producir. Además, se indica el marco normativo que sustenta su producción y los referentes internacionales.</w:t>
      </w:r>
      <w:r w:rsidR="00E7234F">
        <w:rPr>
          <w:rFonts w:ascii="Century Gothic" w:eastAsia="Century Gothic" w:hAnsi="Century Gothic" w:cs="Century Gothic"/>
          <w:iCs/>
          <w:color w:val="6E6E7C"/>
          <w:sz w:val="21"/>
          <w:szCs w:val="21"/>
          <w:lang w:val="es-ES" w:eastAsia="es-ES" w:bidi="es-ES"/>
        </w:rPr>
        <w:t xml:space="preserve"> </w:t>
      </w:r>
    </w:p>
    <w:p w14:paraId="6E019A04" w14:textId="77777777" w:rsidR="00897A16" w:rsidRDefault="006A74FA" w:rsidP="006A74FA">
      <w:pPr>
        <w:spacing w:after="20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t>En la segunda sección se describe la construcción del marco muestral y el diseño de la muestra para el desarrollo de la operación estadística</w:t>
      </w:r>
      <w:r w:rsidR="008772EA">
        <w:rPr>
          <w:rFonts w:ascii="Century Gothic" w:eastAsia="Century Gothic" w:hAnsi="Century Gothic" w:cs="Century Gothic"/>
          <w:iCs/>
          <w:color w:val="6E6E7C"/>
          <w:sz w:val="21"/>
          <w:szCs w:val="21"/>
          <w:lang w:val="es-ES" w:eastAsia="es-ES" w:bidi="es-ES"/>
        </w:rPr>
        <w:t>. Luego, e</w:t>
      </w:r>
      <w:r w:rsidRPr="00582936">
        <w:rPr>
          <w:rFonts w:ascii="Century Gothic" w:eastAsia="Century Gothic" w:hAnsi="Century Gothic" w:cs="Century Gothic"/>
          <w:iCs/>
          <w:color w:val="6E6E7C"/>
          <w:sz w:val="21"/>
          <w:szCs w:val="21"/>
          <w:lang w:val="es-ES" w:eastAsia="es-ES" w:bidi="es-ES"/>
        </w:rPr>
        <w:t xml:space="preserve">n la tercera sección se detalla la metodología de recolección o recopilación que incluye la planificación, los instrumentos de recolección o recopilación y las estrategias de monitoreo. La cuarta sección describe la ejecución de la fase de procesamiento que incluye los resultados estadísticos generados. </w:t>
      </w:r>
    </w:p>
    <w:p w14:paraId="4E7E86B6" w14:textId="77777777" w:rsidR="006A74FA" w:rsidRPr="00582936" w:rsidRDefault="008772EA" w:rsidP="006A74FA">
      <w:pPr>
        <w:spacing w:after="200" w:line="276" w:lineRule="auto"/>
        <w:jc w:val="both"/>
        <w:rPr>
          <w:rFonts w:ascii="Century Gothic" w:eastAsia="Century Gothic" w:hAnsi="Century Gothic" w:cs="Century Gothic"/>
          <w:iCs/>
          <w:color w:val="6E6E7C"/>
          <w:sz w:val="21"/>
          <w:szCs w:val="21"/>
          <w:lang w:val="es-ES" w:eastAsia="es-ES" w:bidi="es-ES"/>
        </w:rPr>
      </w:pPr>
      <w:r>
        <w:rPr>
          <w:rFonts w:ascii="Century Gothic" w:eastAsia="Century Gothic" w:hAnsi="Century Gothic" w:cs="Century Gothic"/>
          <w:iCs/>
          <w:color w:val="6E6E7C"/>
          <w:sz w:val="21"/>
          <w:szCs w:val="21"/>
          <w:lang w:val="es-ES" w:eastAsia="es-ES" w:bidi="es-ES"/>
        </w:rPr>
        <w:t>Finalmente</w:t>
      </w:r>
      <w:r w:rsidR="00E7234F">
        <w:rPr>
          <w:rFonts w:ascii="Century Gothic" w:eastAsia="Century Gothic" w:hAnsi="Century Gothic" w:cs="Century Gothic"/>
          <w:iCs/>
          <w:color w:val="6E6E7C"/>
          <w:sz w:val="21"/>
          <w:szCs w:val="21"/>
          <w:lang w:val="es-ES" w:eastAsia="es-ES" w:bidi="es-ES"/>
        </w:rPr>
        <w:t xml:space="preserve">, </w:t>
      </w:r>
      <w:r>
        <w:rPr>
          <w:rFonts w:ascii="Century Gothic" w:eastAsia="Century Gothic" w:hAnsi="Century Gothic" w:cs="Century Gothic"/>
          <w:iCs/>
          <w:color w:val="6E6E7C"/>
          <w:sz w:val="21"/>
          <w:szCs w:val="21"/>
          <w:lang w:val="es-ES" w:eastAsia="es-ES" w:bidi="es-ES"/>
        </w:rPr>
        <w:t>la quinta sección</w:t>
      </w:r>
      <w:r w:rsidR="006A74FA" w:rsidRPr="00582936">
        <w:rPr>
          <w:rFonts w:ascii="Century Gothic" w:eastAsia="Century Gothic" w:hAnsi="Century Gothic" w:cs="Century Gothic"/>
          <w:iCs/>
          <w:color w:val="6E6E7C"/>
          <w:sz w:val="21"/>
          <w:szCs w:val="21"/>
          <w:lang w:val="es-ES" w:eastAsia="es-ES" w:bidi="es-ES"/>
        </w:rPr>
        <w:t xml:space="preserve"> presenta el análisis y difusión, donde se explican los procedimientos aplicados para validar y contrastar los resultados estadísticos, control de difusión, detalle de los resultados estadísticos y productos de difusión, y los mecanismos y modalidades de soporte al usuario.</w:t>
      </w:r>
    </w:p>
    <w:bookmarkEnd w:id="29"/>
    <w:p w14:paraId="6702C650"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707ECEDD"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4BD2F264"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76A9B4C6"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678916F3"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11424E68"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37C6B55D"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5D28727F"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73BD5770"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41D053B5"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70280F82"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4BE7D660"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18180D4D" w14:textId="77777777" w:rsidR="006A74FA" w:rsidRPr="00582936" w:rsidRDefault="006A74FA" w:rsidP="006A74FA">
      <w:pPr>
        <w:spacing w:after="200" w:line="276" w:lineRule="auto"/>
        <w:jc w:val="both"/>
        <w:rPr>
          <w:rFonts w:ascii="Century Gothic" w:eastAsia="Century Gothic" w:hAnsi="Century Gothic" w:cs="Century Gothic"/>
          <w:iCs/>
          <w:color w:val="6E6E7C"/>
          <w:sz w:val="20"/>
          <w:szCs w:val="20"/>
          <w:lang w:val="es-ES" w:eastAsia="es-ES" w:bidi="es-ES"/>
        </w:rPr>
      </w:pPr>
    </w:p>
    <w:p w14:paraId="37FB227C" w14:textId="77777777" w:rsidR="006A74FA" w:rsidRPr="00582936" w:rsidRDefault="006A74FA" w:rsidP="006A74FA">
      <w:pPr>
        <w:pStyle w:val="Ttulo3"/>
        <w:ind w:left="567" w:hanging="207"/>
        <w:jc w:val="center"/>
        <w:rPr>
          <w:color w:val="6E6E7C"/>
          <w:sz w:val="40"/>
        </w:rPr>
      </w:pPr>
      <w:bookmarkStart w:id="34" w:name="_Toc161322536"/>
      <w:r w:rsidRPr="00582936">
        <w:rPr>
          <w:color w:val="6E6E7C"/>
          <w:sz w:val="40"/>
        </w:rPr>
        <w:lastRenderedPageBreak/>
        <w:t>Antecedentes</w:t>
      </w:r>
      <w:bookmarkEnd w:id="33"/>
      <w:bookmarkEnd w:id="34"/>
      <w:r w:rsidRPr="00582936">
        <w:rPr>
          <w:color w:val="6E6E7C"/>
          <w:sz w:val="40"/>
        </w:rPr>
        <w:t xml:space="preserve"> </w:t>
      </w:r>
    </w:p>
    <w:p w14:paraId="3866AF1D"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t xml:space="preserve">La recopilación de información estadística de las empresas ha evolucionado desde el año 1955 con la ejecución del Primer Censo Industrial del Ecuador; con el transcurso del tiempo la investigación en este ámbito ha presentado mejoras sustanciales en función de las necesidades de los usuarios de la información, la innovación tecnológica, la mejora de las prácticas estadísticas del INEC y las recomendaciones internacionales en la materia. En la actualidad, a fin de atender las necesidades de información en el ámbito empresarial, el Instituto Nacional de Estadística y Censos (INEC), mediante la Dirección de Estadísticas Económicas (DECON) produce con periodicidad anual la Encuesta Estructural Empresarial, investigación que previo al año 2016 se abordada mediante las encuestas industriales. </w:t>
      </w:r>
    </w:p>
    <w:p w14:paraId="5658AAA0"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t xml:space="preserve">Las estadísticas estructurales de empresas permiten medir la estructura y evolución de los principales sectores económicos, proporcionando un amplio abanico de información sobre las empresas e industrias: ventas, valor agregado, producción, el consumo intermedio, formación bruta de capital, empleo, remuneraciones, productos e insumos, entre otras. </w:t>
      </w:r>
    </w:p>
    <w:p w14:paraId="229693B8"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t>A continuación, se describen los principales hitos respecto a las publicaciones y cambios ejecutados en la operación estadística:</w:t>
      </w:r>
    </w:p>
    <w:p w14:paraId="05ADBA49"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Times New Roman" w:hAnsi="Century Gothic" w:cs="Arial"/>
          <w:b/>
          <w:iCs/>
          <w:color w:val="6E6E7C"/>
          <w:sz w:val="21"/>
          <w:szCs w:val="21"/>
          <w:lang w:eastAsia="es-EC"/>
        </w:rPr>
        <w:t xml:space="preserve">1956 - Primer Censo Industrial: </w:t>
      </w:r>
      <w:r w:rsidRPr="00582936">
        <w:rPr>
          <w:rFonts w:ascii="Century Gothic" w:eastAsia="Century Gothic" w:hAnsi="Century Gothic" w:cs="Century Gothic"/>
          <w:iCs/>
          <w:color w:val="6E6E7C"/>
          <w:sz w:val="21"/>
          <w:szCs w:val="21"/>
          <w:lang w:val="es-ES" w:eastAsia="es-ES" w:bidi="es-ES"/>
        </w:rPr>
        <w:t>Se disponen de estadísticas industriales a partir del año 1955, con la ejecución del Primer Censo Industrial. Siendo el primer paso para la formación de un sistema de estadísticas industriales, necesario para la definición de políticas que orienten el desarrollo del país</w:t>
      </w:r>
      <w:sdt>
        <w:sdtPr>
          <w:rPr>
            <w:rFonts w:ascii="Century Gothic" w:eastAsia="Century Gothic" w:hAnsi="Century Gothic" w:cs="Century Gothic"/>
            <w:iCs/>
            <w:color w:val="6E6E7C"/>
            <w:sz w:val="21"/>
            <w:szCs w:val="21"/>
            <w:lang w:val="es-ES" w:eastAsia="es-ES" w:bidi="es-ES"/>
          </w:rPr>
          <w:id w:val="-1026790716"/>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Dir56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Pr>
              <w:rFonts w:ascii="Century Gothic" w:eastAsia="Century Gothic" w:hAnsi="Century Gothic" w:cs="Century Gothic"/>
              <w:iCs/>
              <w:noProof/>
              <w:color w:val="6E6E7C"/>
              <w:sz w:val="21"/>
              <w:szCs w:val="21"/>
              <w:lang w:eastAsia="es-ES" w:bidi="es-ES"/>
            </w:rPr>
            <w:t xml:space="preserve"> </w:t>
          </w:r>
          <w:r w:rsidR="006E6B3C" w:rsidRPr="006E6B3C">
            <w:rPr>
              <w:rFonts w:ascii="Century Gothic" w:eastAsia="Century Gothic" w:hAnsi="Century Gothic" w:cs="Century Gothic"/>
              <w:noProof/>
              <w:color w:val="6E6E7C"/>
              <w:sz w:val="21"/>
              <w:szCs w:val="21"/>
              <w:lang w:eastAsia="es-ES" w:bidi="es-ES"/>
            </w:rPr>
            <w:t>(Dirección General del Estadística y Censos, 1957)</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74D03E16"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1962 - Encuesta de Manufactura y Minería (Encuestas Industriales): </w:t>
      </w:r>
      <w:r w:rsidRPr="00582936">
        <w:rPr>
          <w:rFonts w:ascii="Century Gothic" w:eastAsia="Century Gothic" w:hAnsi="Century Gothic" w:cs="Century Gothic"/>
          <w:iCs/>
          <w:color w:val="6E6E7C"/>
          <w:sz w:val="21"/>
          <w:szCs w:val="21"/>
          <w:lang w:val="es-ES" w:eastAsia="es-ES" w:bidi="es-ES"/>
        </w:rPr>
        <w:t xml:space="preserve">La ejecución de la Encuesta de Manufactura y Minería con el nombre de Encuestas Industriales, generó información correspondiente al año de referencia 1961, dónde se incorporaron variables adicionales a las investigadas en el Censo Económico </w:t>
      </w:r>
      <w:sdt>
        <w:sdtPr>
          <w:rPr>
            <w:rFonts w:ascii="Century Gothic" w:eastAsia="Century Gothic" w:hAnsi="Century Gothic" w:cs="Century Gothic"/>
            <w:iCs/>
            <w:color w:val="6E6E7C"/>
            <w:sz w:val="21"/>
            <w:szCs w:val="21"/>
            <w:lang w:val="es-ES" w:eastAsia="es-ES" w:bidi="es-ES"/>
          </w:rPr>
          <w:id w:val="758028432"/>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Dir56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(Dirección General del Estadística y Censos, 1957)</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73EABB57"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1965 - Segundo Censo de Manufactura y Minería, y el Primer Censo de Comercio y Servicios: </w:t>
      </w:r>
      <w:r w:rsidRPr="00582936">
        <w:rPr>
          <w:rFonts w:ascii="Century Gothic" w:eastAsia="Century Gothic" w:hAnsi="Century Gothic" w:cs="Century Gothic"/>
          <w:iCs/>
          <w:color w:val="6E6E7C"/>
          <w:sz w:val="21"/>
          <w:szCs w:val="21"/>
          <w:lang w:eastAsia="es-ES" w:bidi="es-ES"/>
        </w:rPr>
        <w:t xml:space="preserve">Se </w:t>
      </w:r>
      <w:r w:rsidRPr="00582936">
        <w:rPr>
          <w:rFonts w:ascii="Century Gothic" w:eastAsia="Century Gothic" w:hAnsi="Century Gothic" w:cs="Century Gothic"/>
          <w:iCs/>
          <w:color w:val="6E6E7C"/>
          <w:sz w:val="21"/>
          <w:szCs w:val="21"/>
          <w:lang w:val="es-ES" w:eastAsia="es-ES" w:bidi="es-ES"/>
        </w:rPr>
        <w:t xml:space="preserve">realiza el Segundo Censo de Manufactura y Minería, y el primer censo de Comercio y Servicios, con información de referencia del año 1964. Es así como, en el periodo de 1966 hasta 1979, se investigó formalmente las Encuestas de Manufactura y Minería, Encuesta de Comercio y Encuesta de Hoteles Restaurantes y Servicios para los años de referencia 1965 a 1978 </w:t>
      </w:r>
      <w:sdt>
        <w:sdtPr>
          <w:rPr>
            <w:rFonts w:ascii="Century Gothic" w:eastAsia="Century Gothic" w:hAnsi="Century Gothic" w:cs="Century Gothic"/>
            <w:iCs/>
            <w:color w:val="6E6E7C"/>
            <w:sz w:val="21"/>
            <w:szCs w:val="21"/>
            <w:lang w:eastAsia="es-ES" w:bidi="es-ES"/>
          </w:rPr>
          <w:id w:val="843980814"/>
          <w:citation/>
        </w:sdtPr>
        <w:sdtContent>
          <w:r w:rsidRPr="00582936">
            <w:rPr>
              <w:rFonts w:ascii="Century Gothic" w:eastAsia="Century Gothic" w:hAnsi="Century Gothic" w:cs="Century Gothic"/>
              <w:iCs/>
              <w:color w:val="6E6E7C"/>
              <w:sz w:val="21"/>
              <w:szCs w:val="21"/>
              <w:lang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Jun69 \l 12298 </w:instrText>
          </w:r>
          <w:r w:rsidRPr="00582936">
            <w:rPr>
              <w:rFonts w:ascii="Century Gothic" w:eastAsia="Century Gothic" w:hAnsi="Century Gothic" w:cs="Century Gothic"/>
              <w:iCs/>
              <w:color w:val="6E6E7C"/>
              <w:sz w:val="21"/>
              <w:szCs w:val="21"/>
              <w:lang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(JUNAPLA, 1969)</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eastAsia="es-ES" w:bidi="es-ES"/>
        </w:rPr>
        <w:t>.</w:t>
      </w:r>
    </w:p>
    <w:p w14:paraId="0F21E16F"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1980 - Censo Económico: </w:t>
      </w:r>
      <w:r w:rsidRPr="00582936">
        <w:rPr>
          <w:rFonts w:ascii="Century Gothic" w:eastAsia="Century Gothic" w:hAnsi="Century Gothic" w:cs="Century Gothic"/>
          <w:iCs/>
          <w:color w:val="6E6E7C"/>
          <w:sz w:val="21"/>
          <w:szCs w:val="21"/>
          <w:lang w:val="es-ES" w:eastAsia="es-ES" w:bidi="es-ES"/>
        </w:rPr>
        <w:t xml:space="preserve">Se lleva a cabo el Censo Económico que investigó los sectores: Minería, Manufactura, Comercio Interno y Servicios, considerando la información del año 1979; las variables investigadas fueron las mismas que se levantaron en el Primer Censo Industrial de 1965 </w:t>
      </w:r>
      <w:sdt>
        <w:sdtPr>
          <w:rPr>
            <w:rFonts w:ascii="Century Gothic" w:eastAsia="Century Gothic" w:hAnsi="Century Gothic" w:cs="Century Gothic"/>
            <w:iCs/>
            <w:color w:val="6E6E7C"/>
            <w:sz w:val="21"/>
            <w:szCs w:val="21"/>
            <w:lang w:val="es-ES" w:eastAsia="es-ES" w:bidi="es-ES"/>
          </w:rPr>
          <w:id w:val="85120242"/>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INE81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1981)</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21D2174C" w14:textId="77777777" w:rsidR="006A74FA" w:rsidRPr="00582936" w:rsidRDefault="006A74FA" w:rsidP="006A74FA">
      <w:pPr>
        <w:spacing w:before="240" w:after="20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lastRenderedPageBreak/>
        <w:t xml:space="preserve">1982 - Se retoma la publicación de las Encuestas de Manufactura, Minería, Comercio Interno y Servicios (Encuestas Industriales): </w:t>
      </w:r>
      <w:r w:rsidRPr="00582936">
        <w:rPr>
          <w:rFonts w:ascii="Century Gothic" w:eastAsia="Century Gothic" w:hAnsi="Century Gothic" w:cs="Century Gothic"/>
          <w:iCs/>
          <w:color w:val="6E6E7C"/>
          <w:sz w:val="21"/>
          <w:szCs w:val="21"/>
          <w:lang w:val="es-ES" w:eastAsia="es-ES" w:bidi="es-ES"/>
        </w:rPr>
        <w:t xml:space="preserve">En base al Censo Económico de 1980, se retomó la publicación de las Encuestas Industriales con información del año 1981, a partir de este año la presentación de resultados se realizó en dos tomos: </w:t>
      </w:r>
      <w:r w:rsidRPr="00582936">
        <w:rPr>
          <w:rFonts w:ascii="Century Gothic" w:eastAsia="Century Gothic" w:hAnsi="Century Gothic" w:cs="Century Gothic"/>
          <w:b/>
          <w:iCs/>
          <w:color w:val="6E6E7C"/>
          <w:sz w:val="21"/>
          <w:szCs w:val="21"/>
          <w:lang w:val="es-ES" w:eastAsia="es-ES" w:bidi="es-ES"/>
        </w:rPr>
        <w:t>Tomo I</w:t>
      </w:r>
      <w:r w:rsidRPr="00582936">
        <w:rPr>
          <w:rFonts w:ascii="Century Gothic" w:eastAsia="Century Gothic" w:hAnsi="Century Gothic" w:cs="Century Gothic"/>
          <w:iCs/>
          <w:color w:val="6E6E7C"/>
          <w:sz w:val="21"/>
          <w:szCs w:val="21"/>
          <w:lang w:val="es-ES" w:eastAsia="es-ES" w:bidi="es-ES"/>
        </w:rPr>
        <w:t xml:space="preserve">, con información de agregados económicos como la producción, consumo intermedio, valor agregado, otros de los sectores de Manufactura, Minería, Comercio y Servicios; y, el </w:t>
      </w:r>
      <w:r w:rsidRPr="00582936">
        <w:rPr>
          <w:rFonts w:ascii="Century Gothic" w:eastAsia="Century Gothic" w:hAnsi="Century Gothic" w:cs="Century Gothic"/>
          <w:b/>
          <w:iCs/>
          <w:color w:val="6E6E7C"/>
          <w:sz w:val="21"/>
          <w:szCs w:val="21"/>
          <w:lang w:val="es-ES" w:eastAsia="es-ES" w:bidi="es-ES"/>
        </w:rPr>
        <w:t>Tomo II</w:t>
      </w:r>
      <w:r w:rsidRPr="00582936">
        <w:rPr>
          <w:rFonts w:ascii="Century Gothic" w:eastAsia="Century Gothic" w:hAnsi="Century Gothic" w:cs="Century Gothic"/>
          <w:iCs/>
          <w:color w:val="6E6E7C"/>
          <w:sz w:val="21"/>
          <w:szCs w:val="21"/>
          <w:lang w:val="es-ES" w:eastAsia="es-ES" w:bidi="es-ES"/>
        </w:rPr>
        <w:t xml:space="preserve">, que proporciona información sobre el consumo de materias primas, así como la elaboración de productos según la Clasificación Central de Productos (CPC) de las industrias manufactureras </w:t>
      </w:r>
      <w:sdt>
        <w:sdtPr>
          <w:rPr>
            <w:rFonts w:ascii="Century Gothic" w:eastAsia="Century Gothic" w:hAnsi="Century Gothic" w:cs="Century Gothic"/>
            <w:iCs/>
            <w:color w:val="6E6E7C"/>
            <w:sz w:val="21"/>
            <w:szCs w:val="21"/>
            <w:lang w:val="es-ES" w:eastAsia="es-ES" w:bidi="es-ES"/>
          </w:rPr>
          <w:id w:val="-1394730579"/>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MarcadorDePosición2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1983)</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13D48C63" w14:textId="77777777" w:rsidR="006A74FA" w:rsidRPr="00582936" w:rsidRDefault="006A74FA" w:rsidP="006A74FA">
      <w:pPr>
        <w:spacing w:after="200" w:line="276" w:lineRule="auto"/>
        <w:jc w:val="both"/>
        <w:rPr>
          <w:rFonts w:ascii="Century Gothic" w:eastAsia="Times New Roman" w:hAnsi="Century Gothic" w:cs="Arial"/>
          <w:b/>
          <w:iCs/>
          <w:color w:val="6E6E7C"/>
          <w:sz w:val="21"/>
          <w:szCs w:val="21"/>
          <w:lang w:eastAsia="es-EC"/>
        </w:rPr>
      </w:pPr>
      <w:r w:rsidRPr="00582936">
        <w:rPr>
          <w:rFonts w:ascii="Century Gothic" w:eastAsia="Times New Roman" w:hAnsi="Century Gothic" w:cs="Arial"/>
          <w:b/>
          <w:iCs/>
          <w:color w:val="6E6E7C"/>
          <w:sz w:val="21"/>
          <w:szCs w:val="21"/>
          <w:lang w:eastAsia="es-EC"/>
        </w:rPr>
        <w:t xml:space="preserve">1983 - Incorporación de un nuevo capítulo en el formulario: </w:t>
      </w:r>
      <w:r w:rsidRPr="00582936">
        <w:rPr>
          <w:rFonts w:ascii="Century Gothic" w:eastAsia="Times New Roman" w:hAnsi="Century Gothic" w:cs="Arial"/>
          <w:iCs/>
          <w:color w:val="6E6E7C"/>
          <w:sz w:val="21"/>
          <w:szCs w:val="21"/>
          <w:lang w:eastAsia="es-EC"/>
        </w:rPr>
        <w:t>En 1983 (año de referencia 1982), se implementa mejoras al formulario, con la inclusión del capítulo XVI: Valor de las Ventas; el cuál detalló el valor de las ventas de productos y subproductos elaborados por el establecimiento, ventas en el país como sus ventas al exterior</w:t>
      </w:r>
      <w:sdt>
        <w:sdtPr>
          <w:rPr>
            <w:rFonts w:ascii="Century Gothic" w:eastAsia="Times New Roman" w:hAnsi="Century Gothic" w:cs="Arial"/>
            <w:b/>
            <w:iCs/>
            <w:color w:val="6E6E7C"/>
            <w:sz w:val="21"/>
            <w:szCs w:val="21"/>
            <w:lang w:eastAsia="es-EC"/>
          </w:rPr>
          <w:id w:val="794567673"/>
          <w:citation/>
        </w:sdtPr>
        <w:sdtContent>
          <w:r w:rsidRPr="00582936">
            <w:rPr>
              <w:rFonts w:ascii="Century Gothic" w:eastAsia="Times New Roman" w:hAnsi="Century Gothic" w:cs="Arial"/>
              <w:b/>
              <w:iCs/>
              <w:color w:val="6E6E7C"/>
              <w:sz w:val="21"/>
              <w:szCs w:val="21"/>
              <w:lang w:eastAsia="es-EC"/>
            </w:rPr>
            <w:fldChar w:fldCharType="begin"/>
          </w:r>
          <w:r w:rsidRPr="00582936">
            <w:rPr>
              <w:rFonts w:ascii="Century Gothic" w:eastAsia="Times New Roman" w:hAnsi="Century Gothic" w:cs="Arial"/>
              <w:b/>
              <w:iCs/>
              <w:color w:val="6E6E7C"/>
              <w:sz w:val="21"/>
              <w:szCs w:val="21"/>
              <w:lang w:eastAsia="es-EC"/>
            </w:rPr>
            <w:instrText xml:space="preserve">CITATION MarcadorDePosición10 \l 12298 </w:instrText>
          </w:r>
          <w:r w:rsidRPr="00582936">
            <w:rPr>
              <w:rFonts w:ascii="Century Gothic" w:eastAsia="Times New Roman" w:hAnsi="Century Gothic" w:cs="Arial"/>
              <w:b/>
              <w:iCs/>
              <w:color w:val="6E6E7C"/>
              <w:sz w:val="21"/>
              <w:szCs w:val="21"/>
              <w:lang w:eastAsia="es-EC"/>
            </w:rPr>
            <w:fldChar w:fldCharType="separate"/>
          </w:r>
          <w:r w:rsidR="006E6B3C">
            <w:rPr>
              <w:rFonts w:ascii="Century Gothic" w:eastAsia="Times New Roman" w:hAnsi="Century Gothic" w:cs="Arial"/>
              <w:b/>
              <w:iCs/>
              <w:noProof/>
              <w:color w:val="6E6E7C"/>
              <w:sz w:val="21"/>
              <w:szCs w:val="21"/>
              <w:lang w:eastAsia="es-EC"/>
            </w:rPr>
            <w:t xml:space="preserve"> </w:t>
          </w:r>
          <w:r w:rsidR="006E6B3C" w:rsidRPr="006E6B3C">
            <w:rPr>
              <w:rFonts w:ascii="Century Gothic" w:eastAsia="Times New Roman" w:hAnsi="Century Gothic" w:cs="Arial"/>
              <w:noProof/>
              <w:color w:val="6E6E7C"/>
              <w:sz w:val="21"/>
              <w:szCs w:val="21"/>
              <w:lang w:eastAsia="es-EC"/>
            </w:rPr>
            <w:t>(INEC, 1984)</w:t>
          </w:r>
          <w:r w:rsidRPr="00582936">
            <w:rPr>
              <w:rFonts w:ascii="Century Gothic" w:eastAsia="Times New Roman" w:hAnsi="Century Gothic" w:cs="Arial"/>
              <w:b/>
              <w:iCs/>
              <w:color w:val="6E6E7C"/>
              <w:sz w:val="21"/>
              <w:szCs w:val="21"/>
              <w:lang w:eastAsia="es-EC"/>
            </w:rPr>
            <w:fldChar w:fldCharType="end"/>
          </w:r>
        </w:sdtContent>
      </w:sdt>
      <w:r w:rsidRPr="00582936">
        <w:rPr>
          <w:rFonts w:ascii="Century Gothic" w:eastAsia="Times New Roman" w:hAnsi="Century Gothic" w:cs="Arial"/>
          <w:b/>
          <w:iCs/>
          <w:color w:val="6E6E7C"/>
          <w:sz w:val="21"/>
          <w:szCs w:val="21"/>
          <w:lang w:eastAsia="es-EC"/>
        </w:rPr>
        <w:t xml:space="preserve">. </w:t>
      </w:r>
    </w:p>
    <w:p w14:paraId="5C1A7A45" w14:textId="77777777" w:rsidR="006A74FA" w:rsidRPr="00582936" w:rsidRDefault="006A74FA" w:rsidP="006A74FA">
      <w:pPr>
        <w:spacing w:after="200" w:line="276" w:lineRule="auto"/>
        <w:jc w:val="both"/>
        <w:rPr>
          <w:rFonts w:ascii="Century Gothic" w:eastAsia="Century Gothic" w:hAnsi="Century Gothic" w:cs="Century Gothic"/>
          <w:i/>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1984 - Incorporación del Estado de Pérdidas y Ganancias: </w:t>
      </w:r>
      <w:r w:rsidRPr="00582936">
        <w:rPr>
          <w:rFonts w:ascii="Century Gothic" w:eastAsia="Century Gothic" w:hAnsi="Century Gothic" w:cs="Century Gothic"/>
          <w:iCs/>
          <w:color w:val="6E6E7C"/>
          <w:sz w:val="21"/>
          <w:szCs w:val="21"/>
          <w:lang w:val="es-ES" w:eastAsia="es-ES" w:bidi="es-ES"/>
        </w:rPr>
        <w:t>En el año de 1984 (periodo de referencia 1983), se incorporó al formulario el capítulo “Estado de Pérdidas y Ganancias”, considerando que hasta 1983 se investigaban las variables de ingreso y gasto separados en diferentes capítulos; también, se incorporó un capítulo de “Combustibles y Lubricantes”</w:t>
      </w:r>
      <w:sdt>
        <w:sdtPr>
          <w:rPr>
            <w:rFonts w:ascii="Century Gothic" w:eastAsia="Century Gothic" w:hAnsi="Century Gothic" w:cs="Century Gothic"/>
            <w:iCs/>
            <w:color w:val="6E6E7C"/>
            <w:sz w:val="21"/>
            <w:szCs w:val="21"/>
            <w:lang w:val="es-ES" w:eastAsia="es-ES" w:bidi="es-ES"/>
          </w:rPr>
          <w:id w:val="1579859868"/>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ENCre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Pr>
              <w:rFonts w:ascii="Century Gothic" w:eastAsia="Century Gothic" w:hAnsi="Century Gothic" w:cs="Century Gothic"/>
              <w:iCs/>
              <w:noProof/>
              <w:color w:val="6E6E7C"/>
              <w:sz w:val="21"/>
              <w:szCs w:val="21"/>
              <w:lang w:eastAsia="es-ES" w:bidi="es-ES"/>
            </w:rPr>
            <w:t xml:space="preserve"> </w:t>
          </w:r>
          <w:r w:rsidR="006E6B3C" w:rsidRPr="006E6B3C">
            <w:rPr>
              <w:rFonts w:ascii="Century Gothic" w:eastAsia="Century Gothic" w:hAnsi="Century Gothic" w:cs="Century Gothic"/>
              <w:noProof/>
              <w:color w:val="6E6E7C"/>
              <w:sz w:val="21"/>
              <w:szCs w:val="21"/>
              <w:lang w:eastAsia="es-ES" w:bidi="es-ES"/>
            </w:rPr>
            <w:t>(INEC, 1985)</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 A partir de este año, la investigación de las Encuestas Industriales se realizó en forma continua durante los próximos años hasta 1999.</w:t>
      </w:r>
    </w:p>
    <w:p w14:paraId="7ED18DC4" w14:textId="77777777" w:rsidR="006A74FA" w:rsidRPr="00582936" w:rsidRDefault="006A74FA" w:rsidP="006A74FA">
      <w:pPr>
        <w:spacing w:line="276" w:lineRule="auto"/>
        <w:jc w:val="both"/>
        <w:rPr>
          <w:rFonts w:ascii="Century Gothic" w:eastAsia="Times New Roman" w:hAnsi="Century Gothic" w:cs="Arial"/>
          <w:b/>
          <w:iCs/>
          <w:color w:val="6E6E7C"/>
          <w:sz w:val="21"/>
          <w:szCs w:val="21"/>
          <w:lang w:eastAsia="es-EC"/>
        </w:rPr>
      </w:pPr>
      <w:r w:rsidRPr="00582936">
        <w:rPr>
          <w:rFonts w:ascii="Century Gothic" w:eastAsia="Times New Roman" w:hAnsi="Century Gothic" w:cs="Arial"/>
          <w:b/>
          <w:iCs/>
          <w:color w:val="6E6E7C"/>
          <w:sz w:val="21"/>
          <w:szCs w:val="21"/>
          <w:lang w:eastAsia="es-EC"/>
        </w:rPr>
        <w:t xml:space="preserve">2000 - Dolarización en el Ecuador: </w:t>
      </w:r>
      <w:r w:rsidRPr="00582936">
        <w:rPr>
          <w:rFonts w:ascii="Century Gothic" w:eastAsia="Century Gothic" w:hAnsi="Century Gothic" w:cs="Century Gothic"/>
          <w:iCs/>
          <w:color w:val="6E6E7C"/>
          <w:sz w:val="21"/>
          <w:szCs w:val="21"/>
          <w:lang w:val="es-ES" w:eastAsia="es-ES" w:bidi="es-ES"/>
        </w:rPr>
        <w:t xml:space="preserve">En el año 2000, el país adoptó el dólar como medio de pago obligatorio; por lo tanto, fue necesario realizar actualizaciones en las herramientas metodológicas de las Encuestas Industriales, correspondientes a las unidades de valor </w:t>
      </w:r>
      <w:sdt>
        <w:sdtPr>
          <w:rPr>
            <w:rFonts w:ascii="Century Gothic" w:eastAsia="Century Gothic" w:hAnsi="Century Gothic" w:cs="Century Gothic"/>
            <w:iCs/>
            <w:color w:val="6E6E7C"/>
            <w:sz w:val="21"/>
            <w:szCs w:val="21"/>
            <w:lang w:val="es-ES" w:eastAsia="es-ES" w:bidi="es-ES"/>
          </w:rPr>
          <w:id w:val="682252771"/>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INE15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2016)</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 La Encuesta Industrial, continuó su ejecución normalmente sin cambios en la metodología hasta el año 2007.</w:t>
      </w:r>
    </w:p>
    <w:p w14:paraId="48389D33"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2008 - Incorporación de sistemas informáticos en la recolección de la información: </w:t>
      </w:r>
      <w:r w:rsidRPr="00582936">
        <w:rPr>
          <w:rFonts w:ascii="Century Gothic" w:eastAsia="Century Gothic" w:hAnsi="Century Gothic" w:cs="Century Gothic"/>
          <w:iCs/>
          <w:color w:val="6E6E7C"/>
          <w:sz w:val="21"/>
          <w:szCs w:val="21"/>
          <w:lang w:val="es-ES" w:eastAsia="es-ES" w:bidi="es-ES"/>
        </w:rPr>
        <w:t xml:space="preserve">Con la finalidad de optimizar el tiempo y recursos para la obtención de la información de la operación estadística, el INEC, en el marco de la mejora continua, y de satisfacer las necesidades de los usuarios, implementó una nueva herramienta de recolección de la información utilizando sistemas informáticos, para reducir la utilización de formularios físicos </w:t>
      </w:r>
      <w:sdt>
        <w:sdtPr>
          <w:rPr>
            <w:rFonts w:ascii="Century Gothic" w:eastAsia="Century Gothic" w:hAnsi="Century Gothic" w:cs="Century Gothic"/>
            <w:iCs/>
            <w:color w:val="6E6E7C"/>
            <w:sz w:val="21"/>
            <w:szCs w:val="21"/>
            <w:lang w:val="es-ES" w:eastAsia="es-ES" w:bidi="es-ES"/>
          </w:rPr>
          <w:id w:val="-1341235069"/>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INE08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2008)</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3EF39740"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eastAsia="es-ES" w:bidi="es-ES"/>
        </w:rPr>
      </w:pPr>
      <w:r w:rsidRPr="00582936">
        <w:rPr>
          <w:rFonts w:ascii="Century Gothic" w:eastAsia="Century Gothic" w:hAnsi="Century Gothic" w:cs="Century Gothic"/>
          <w:b/>
          <w:iCs/>
          <w:color w:val="6E6E7C"/>
          <w:sz w:val="21"/>
          <w:szCs w:val="21"/>
          <w:lang w:eastAsia="es-ES" w:bidi="es-ES"/>
        </w:rPr>
        <w:t xml:space="preserve">2010 - Censo Económico (CENEC 2010)- Empadronamiento: </w:t>
      </w:r>
      <w:r w:rsidRPr="00582936">
        <w:rPr>
          <w:rFonts w:ascii="Century Gothic" w:eastAsia="Century Gothic" w:hAnsi="Century Gothic" w:cs="Century Gothic"/>
          <w:iCs/>
          <w:color w:val="6E6E7C"/>
          <w:sz w:val="21"/>
          <w:szCs w:val="21"/>
          <w:lang w:val="es-ES" w:eastAsia="es-ES" w:bidi="es-ES"/>
        </w:rPr>
        <w:t xml:space="preserve">Se ejecutó la primera etapa del Censo Económico denominado empadronamiento, como </w:t>
      </w:r>
      <w:r w:rsidRPr="00582936">
        <w:rPr>
          <w:rFonts w:ascii="Century Gothic" w:eastAsia="Century Gothic" w:hAnsi="Century Gothic" w:cs="Century Gothic"/>
          <w:iCs/>
          <w:color w:val="6E6E7C"/>
          <w:sz w:val="21"/>
          <w:szCs w:val="21"/>
          <w:lang w:eastAsia="es-ES" w:bidi="es-ES"/>
        </w:rPr>
        <w:t xml:space="preserve">base para la actualización del marco muestral de las operaciones estadísticas que tienen como unidad de investigación a locales auxiliares, establecimientos y empresas </w:t>
      </w:r>
      <w:sdt>
        <w:sdtPr>
          <w:rPr>
            <w:rFonts w:ascii="Century Gothic" w:eastAsia="Century Gothic" w:hAnsi="Century Gothic" w:cs="Century Gothic"/>
            <w:iCs/>
            <w:color w:val="6E6E7C"/>
            <w:sz w:val="21"/>
            <w:szCs w:val="21"/>
            <w:lang w:val="es-ES" w:eastAsia="es-ES" w:bidi="es-ES"/>
          </w:rPr>
          <w:id w:val="-490250583"/>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INE151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2015 a)</w:t>
          </w:r>
          <w:r w:rsidRPr="00582936">
            <w:rPr>
              <w:rFonts w:ascii="Century Gothic" w:eastAsia="Century Gothic" w:hAnsi="Century Gothic" w:cs="Century Gothic"/>
              <w:iCs/>
              <w:color w:val="6E6E7C"/>
              <w:sz w:val="21"/>
              <w:szCs w:val="21"/>
              <w:lang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21FE5768"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2012 - Ejecución de la Encuesta Exhaustiva: </w:t>
      </w:r>
      <w:r w:rsidRPr="00582936">
        <w:rPr>
          <w:rFonts w:ascii="Century Gothic" w:eastAsia="Century Gothic" w:hAnsi="Century Gothic" w:cs="Century Gothic"/>
          <w:iCs/>
          <w:color w:val="6E6E7C"/>
          <w:sz w:val="21"/>
          <w:szCs w:val="21"/>
          <w:lang w:val="es-ES" w:eastAsia="es-ES" w:bidi="es-ES"/>
        </w:rPr>
        <w:t xml:space="preserve">Se realizó la segunda etapa del Censo Económico, que recabó información del año 2011. Esta operación reemplazó a las Encuestas Industriales para ese año de referencia </w:t>
      </w:r>
      <w:sdt>
        <w:sdtPr>
          <w:rPr>
            <w:rFonts w:ascii="Century Gothic" w:eastAsia="Century Gothic" w:hAnsi="Century Gothic" w:cs="Century Gothic"/>
            <w:iCs/>
            <w:color w:val="6E6E7C"/>
            <w:sz w:val="21"/>
            <w:szCs w:val="21"/>
            <w:lang w:val="es-ES" w:eastAsia="es-ES" w:bidi="es-ES"/>
          </w:rPr>
          <w:id w:val="-844858658"/>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INE15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2016)</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356BEC80"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lastRenderedPageBreak/>
        <w:t>2013 - Incorporación de los módulos relacionados a TIC</w:t>
      </w:r>
      <w:r w:rsidRPr="00582936">
        <w:rPr>
          <w:rFonts w:ascii="Century Gothic" w:eastAsia="Century Gothic" w:hAnsi="Century Gothic" w:cs="Century Gothic"/>
          <w:b/>
          <w:iCs/>
          <w:color w:val="6E6E7C"/>
          <w:sz w:val="21"/>
          <w:szCs w:val="21"/>
          <w:vertAlign w:val="superscript"/>
          <w:lang w:eastAsia="es-ES" w:bidi="es-ES"/>
        </w:rPr>
        <w:footnoteReference w:id="8"/>
      </w:r>
      <w:r w:rsidRPr="00582936">
        <w:rPr>
          <w:rFonts w:ascii="Century Gothic" w:eastAsia="Century Gothic" w:hAnsi="Century Gothic" w:cs="Century Gothic"/>
          <w:b/>
          <w:iCs/>
          <w:color w:val="6E6E7C"/>
          <w:sz w:val="21"/>
          <w:szCs w:val="21"/>
          <w:lang w:eastAsia="es-ES" w:bidi="es-ES"/>
        </w:rPr>
        <w:t xml:space="preserve">, Transporte y Enseñanza: </w:t>
      </w:r>
      <w:r w:rsidRPr="00582936">
        <w:rPr>
          <w:rFonts w:ascii="Century Gothic" w:eastAsia="Century Gothic" w:hAnsi="Century Gothic" w:cs="Century Gothic"/>
          <w:iCs/>
          <w:color w:val="6E6E7C"/>
          <w:sz w:val="21"/>
          <w:szCs w:val="21"/>
          <w:lang w:val="es-ES" w:eastAsia="es-ES" w:bidi="es-ES"/>
        </w:rPr>
        <w:t xml:space="preserve">Se retomó las Encuestas Industriales (Manufactura, Minería, Comercio Interno y Hoteles Restaurantes y Servicios) con información del año 2012. Para efecto del levantamiento de la información, se utilizó un formulario similar al utilizado en el año 2010. Adicionalmente, se incorporó al estudio los sectores de transporte y enseñanza y el módulo para estudiar el uso de las TIC en las empresas de Manufactura, Comercio y Servicios </w:t>
      </w:r>
      <w:sdt>
        <w:sdtPr>
          <w:rPr>
            <w:rFonts w:ascii="Century Gothic" w:eastAsia="Century Gothic" w:hAnsi="Century Gothic" w:cs="Century Gothic"/>
            <w:iCs/>
            <w:color w:val="6E6E7C"/>
            <w:sz w:val="21"/>
            <w:szCs w:val="21"/>
            <w:lang w:val="es-ES" w:eastAsia="es-ES" w:bidi="es-ES"/>
          </w:rPr>
          <w:id w:val="-800924334"/>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INE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2015 b)</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085CBB6D"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2015 - Ejercicio de empalme entre las Encuestas Industriales y la Encuesta Exhaustiva (EE): </w:t>
      </w:r>
      <w:r w:rsidRPr="00582936">
        <w:rPr>
          <w:rFonts w:ascii="Century Gothic" w:eastAsia="Century Gothic" w:hAnsi="Century Gothic" w:cs="Century Gothic"/>
          <w:iCs/>
          <w:color w:val="6E6E7C"/>
          <w:sz w:val="21"/>
          <w:szCs w:val="21"/>
          <w:lang w:eastAsia="es-ES" w:bidi="es-ES"/>
        </w:rPr>
        <w:t xml:space="preserve">Se realizó el empalme entre las encuestas industriales y la Encuesta Exhaustiva, </w:t>
      </w:r>
      <w:r w:rsidRPr="00582936">
        <w:rPr>
          <w:rFonts w:ascii="Century Gothic" w:eastAsia="Century Gothic" w:hAnsi="Century Gothic" w:cs="Century Gothic"/>
          <w:iCs/>
          <w:color w:val="6E6E7C"/>
          <w:sz w:val="21"/>
          <w:szCs w:val="21"/>
          <w:lang w:val="es-ES" w:eastAsia="es-ES" w:bidi="es-ES"/>
        </w:rPr>
        <w:t xml:space="preserve">con la finalidad de dar continuidad a las series de las principales variables económicas calculadas a partir de las Encuestas Industriales hasta el 2010, este ejercicio de empalme de las Encuestas Industriales 2010, Encuesta Exhaustiva 2011 y Encuestas Industriales 2012-2015, consistió en analizar la comparabilidad de las muestras de las tres encuestas, rama por rama, garantizando que estas no cambian de manera drástica </w:t>
      </w:r>
      <w:sdt>
        <w:sdtPr>
          <w:rPr>
            <w:rFonts w:ascii="Century Gothic" w:eastAsia="Century Gothic" w:hAnsi="Century Gothic" w:cs="Century Gothic"/>
            <w:iCs/>
            <w:color w:val="6E6E7C"/>
            <w:sz w:val="21"/>
            <w:szCs w:val="21"/>
            <w:lang w:val="es-ES" w:eastAsia="es-ES" w:bidi="es-ES"/>
          </w:rPr>
          <w:id w:val="1315677617"/>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INE151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sidRPr="006E6B3C">
            <w:rPr>
              <w:rFonts w:ascii="Century Gothic" w:eastAsia="Century Gothic" w:hAnsi="Century Gothic" w:cs="Century Gothic"/>
              <w:noProof/>
              <w:color w:val="6E6E7C"/>
              <w:sz w:val="21"/>
              <w:szCs w:val="21"/>
              <w:lang w:eastAsia="es-ES" w:bidi="es-ES"/>
            </w:rPr>
            <w:t>(INEC, 2015 a)</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688EFEAA"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2016 - Inclusión del Módulo de gestión ambiental en las encuestas Industriales: </w:t>
      </w:r>
      <w:r w:rsidRPr="00582936">
        <w:rPr>
          <w:rFonts w:ascii="Century Gothic" w:eastAsia="Century Gothic" w:hAnsi="Century Gothic" w:cs="Century Gothic"/>
          <w:iCs/>
          <w:color w:val="6E6E7C"/>
          <w:sz w:val="21"/>
          <w:szCs w:val="21"/>
          <w:lang w:val="es-ES" w:eastAsia="es-ES" w:bidi="es-ES"/>
        </w:rPr>
        <w:t>Hasta el año 2014, el INEC levantó de forma independiente dos tipos de encuestas dirigidas a empresas, la Encuesta de Información Ambiental Económica (EAEE) y las Encuestas Industriales (Manufactura, Comercio y Servicios). Cada una respondía a su propia metodología y objetivos de investigación; dando lugar a que una empresa coincida en los dos directorios de investigación. Es así como, por recomendaciones de buenas prácticas estadísticas, para el levantamiento del año de referencia 2015, se consideró incorporar a las Encuestas Industriales el módulo información ambiental en una solo encuesta</w:t>
      </w:r>
      <w:sdt>
        <w:sdtPr>
          <w:rPr>
            <w:rFonts w:ascii="Century Gothic" w:eastAsia="Century Gothic" w:hAnsi="Century Gothic" w:cs="Century Gothic"/>
            <w:iCs/>
            <w:color w:val="6E6E7C"/>
            <w:sz w:val="21"/>
            <w:szCs w:val="21"/>
            <w:lang w:val="es-ES" w:eastAsia="es-ES" w:bidi="es-ES"/>
          </w:rPr>
          <w:id w:val="-722366780"/>
          <w:citation/>
        </w:sdtPr>
        <w:sdtContent>
          <w:r w:rsidRPr="00582936">
            <w:rPr>
              <w:rFonts w:ascii="Century Gothic" w:eastAsia="Century Gothic" w:hAnsi="Century Gothic" w:cs="Century Gothic"/>
              <w:iCs/>
              <w:color w:val="6E6E7C"/>
              <w:sz w:val="21"/>
              <w:szCs w:val="21"/>
              <w:lang w:val="es-ES" w:eastAsia="es-ES" w:bidi="es-ES"/>
            </w:rPr>
            <w:fldChar w:fldCharType="begin"/>
          </w:r>
          <w:r w:rsidRPr="00582936">
            <w:rPr>
              <w:rFonts w:ascii="Century Gothic" w:eastAsia="Century Gothic" w:hAnsi="Century Gothic" w:cs="Century Gothic"/>
              <w:iCs/>
              <w:color w:val="6E6E7C"/>
              <w:sz w:val="21"/>
              <w:szCs w:val="21"/>
              <w:lang w:eastAsia="es-ES" w:bidi="es-ES"/>
            </w:rPr>
            <w:instrText xml:space="preserve">CITATION MarcadorDePosición5 \l 12298 </w:instrText>
          </w:r>
          <w:r w:rsidRPr="00582936">
            <w:rPr>
              <w:rFonts w:ascii="Century Gothic" w:eastAsia="Century Gothic" w:hAnsi="Century Gothic" w:cs="Century Gothic"/>
              <w:iCs/>
              <w:color w:val="6E6E7C"/>
              <w:sz w:val="21"/>
              <w:szCs w:val="21"/>
              <w:lang w:val="es-ES" w:eastAsia="es-ES" w:bidi="es-ES"/>
            </w:rPr>
            <w:fldChar w:fldCharType="separate"/>
          </w:r>
          <w:r w:rsidR="006E6B3C">
            <w:rPr>
              <w:rFonts w:ascii="Century Gothic" w:eastAsia="Century Gothic" w:hAnsi="Century Gothic" w:cs="Century Gothic"/>
              <w:iCs/>
              <w:noProof/>
              <w:color w:val="6E6E7C"/>
              <w:sz w:val="21"/>
              <w:szCs w:val="21"/>
              <w:lang w:eastAsia="es-ES" w:bidi="es-ES"/>
            </w:rPr>
            <w:t xml:space="preserve"> </w:t>
          </w:r>
          <w:r w:rsidR="006E6B3C" w:rsidRPr="006E6B3C">
            <w:rPr>
              <w:rFonts w:ascii="Century Gothic" w:eastAsia="Century Gothic" w:hAnsi="Century Gothic" w:cs="Century Gothic"/>
              <w:noProof/>
              <w:color w:val="6E6E7C"/>
              <w:sz w:val="21"/>
              <w:szCs w:val="21"/>
              <w:lang w:eastAsia="es-ES" w:bidi="es-ES"/>
            </w:rPr>
            <w:t>(INEC, 2015 c)</w:t>
          </w:r>
          <w:r w:rsidRPr="00582936">
            <w:rPr>
              <w:rFonts w:ascii="Century Gothic" w:eastAsia="Century Gothic" w:hAnsi="Century Gothic" w:cs="Century Gothic"/>
              <w:iCs/>
              <w:color w:val="6E6E7C"/>
              <w:sz w:val="21"/>
              <w:szCs w:val="21"/>
              <w:lang w:val="es-ES" w:eastAsia="es-ES" w:bidi="es-ES"/>
            </w:rPr>
            <w:fldChar w:fldCharType="end"/>
          </w:r>
        </w:sdtContent>
      </w:sdt>
      <w:r w:rsidRPr="00582936">
        <w:rPr>
          <w:rFonts w:ascii="Century Gothic" w:eastAsia="Century Gothic" w:hAnsi="Century Gothic" w:cs="Century Gothic"/>
          <w:iCs/>
          <w:color w:val="6E6E7C"/>
          <w:sz w:val="21"/>
          <w:szCs w:val="21"/>
          <w:lang w:val="es-ES" w:eastAsia="es-ES" w:bidi="es-ES"/>
        </w:rPr>
        <w:t>.</w:t>
      </w:r>
    </w:p>
    <w:p w14:paraId="50CCB731"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iCs/>
          <w:color w:val="6E6E7C"/>
          <w:sz w:val="21"/>
          <w:szCs w:val="21"/>
          <w:lang w:val="es-ES" w:eastAsia="es-ES" w:bidi="es-ES"/>
        </w:rPr>
        <w:t>Adicionalmente, se incluyó el capítulo de Identificación de establecimientos que investigó variables de ubicación, descripción de la actividad, ventas, número de personal ocupado y contactos de los tipos de establecimientos de las empresas investigadas.</w:t>
      </w:r>
    </w:p>
    <w:p w14:paraId="589CC12B"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val="es-ES" w:eastAsia="es-ES" w:bidi="es-ES"/>
        </w:rPr>
      </w:pPr>
      <w:r w:rsidRPr="00582936">
        <w:rPr>
          <w:rFonts w:ascii="Century Gothic" w:eastAsia="Century Gothic" w:hAnsi="Century Gothic" w:cs="Century Gothic"/>
          <w:b/>
          <w:iCs/>
          <w:color w:val="6E6E7C"/>
          <w:sz w:val="21"/>
          <w:szCs w:val="21"/>
          <w:lang w:eastAsia="es-ES" w:bidi="es-ES"/>
        </w:rPr>
        <w:t xml:space="preserve">2017 – Inicio de la Encuesta Estructural Empresarial (ENESEM): </w:t>
      </w:r>
      <w:r w:rsidRPr="00582936">
        <w:rPr>
          <w:rFonts w:ascii="Century Gothic" w:eastAsia="Century Gothic" w:hAnsi="Century Gothic" w:cs="Century Gothic"/>
          <w:iCs/>
          <w:color w:val="6E6E7C"/>
          <w:sz w:val="21"/>
          <w:szCs w:val="21"/>
          <w:lang w:val="es-ES" w:eastAsia="es-ES" w:bidi="es-ES"/>
        </w:rPr>
        <w:t>Para el año de referencia 2016, se realizó la homologación de las Encuestas Industriales, en un formulario denominado Encuesta Estructural Empresarial (ENESEM). En este sentido, y para fortalecer las estadísticas económicas de empresas se contó con un diseño muestral para la nueva ENESEM 2016, con representatividad a nivel nacional, según secciones de la CIIU y tamaño de empresas: medianas tipo A y B y grandes, el mismo que se realizó con la utilización de la técnica de muestreo probabilístico de elementos con selección aleatoria; permitiendo generar resultados confiables de las principales variables investigadas. Adicional, se estableció la desagregación del capítulo de personal ocupado; según grupos de ocupación de acuerdo con la CIUO, por temporalidad, edades y remuneraciones.</w:t>
      </w:r>
    </w:p>
    <w:p w14:paraId="10AB7DD1" w14:textId="77777777" w:rsidR="006A74FA" w:rsidRPr="00582936" w:rsidRDefault="006A74FA" w:rsidP="006A74FA">
      <w:pPr>
        <w:spacing w:before="240" w:line="276" w:lineRule="auto"/>
        <w:jc w:val="both"/>
        <w:rPr>
          <w:rFonts w:ascii="Century Gothic" w:eastAsia="Century Gothic" w:hAnsi="Century Gothic" w:cs="Century Gothic"/>
          <w:iCs/>
          <w:color w:val="6E6E7C"/>
          <w:sz w:val="21"/>
          <w:szCs w:val="21"/>
          <w:lang w:eastAsia="es-ES" w:bidi="es-ES"/>
        </w:rPr>
      </w:pPr>
      <w:r w:rsidRPr="00582936">
        <w:rPr>
          <w:rFonts w:ascii="Century Gothic" w:eastAsia="Century Gothic" w:hAnsi="Century Gothic" w:cs="Century Gothic"/>
          <w:b/>
          <w:iCs/>
          <w:color w:val="6E6E7C"/>
          <w:sz w:val="21"/>
          <w:szCs w:val="21"/>
          <w:lang w:eastAsia="es-ES" w:bidi="es-ES"/>
        </w:rPr>
        <w:lastRenderedPageBreak/>
        <w:t xml:space="preserve">2018 - Cambios en las variables investigadas en el Módulo de TIC (ENESEM 2017): </w:t>
      </w:r>
      <w:r w:rsidRPr="00582936">
        <w:rPr>
          <w:rFonts w:ascii="Century Gothic" w:eastAsia="Century Gothic" w:hAnsi="Century Gothic" w:cs="Century Gothic"/>
          <w:iCs/>
          <w:color w:val="6E6E7C"/>
          <w:sz w:val="21"/>
          <w:szCs w:val="21"/>
          <w:lang w:eastAsia="es-ES" w:bidi="es-ES"/>
        </w:rPr>
        <w:t>En el año 2018 (periodo de referencia 2017), se realizó mejoras en el Módulo de TIC; además, se implementaron preguntas en el capítulo 5 de personal ocupado a fin de indagar características de la calificación y capacidades del personal.</w:t>
      </w:r>
    </w:p>
    <w:p w14:paraId="1E0683AF" w14:textId="77777777" w:rsidR="006A74FA" w:rsidRPr="00582936" w:rsidRDefault="006A74FA" w:rsidP="006A74FA">
      <w:pPr>
        <w:spacing w:before="240" w:after="200" w:line="276" w:lineRule="auto"/>
        <w:jc w:val="both"/>
        <w:rPr>
          <w:rFonts w:ascii="Century Gothic" w:eastAsia="Century Gothic" w:hAnsi="Century Gothic" w:cs="Century Gothic"/>
          <w:iCs/>
          <w:color w:val="6E6E7C"/>
          <w:sz w:val="21"/>
          <w:szCs w:val="21"/>
          <w:lang w:eastAsia="es-ES" w:bidi="es-ES"/>
        </w:rPr>
      </w:pPr>
      <w:r w:rsidRPr="00582936">
        <w:rPr>
          <w:rFonts w:ascii="Century Gothic" w:eastAsia="Century Gothic" w:hAnsi="Century Gothic" w:cs="Century Gothic"/>
          <w:b/>
          <w:iCs/>
          <w:color w:val="6E6E7C"/>
          <w:sz w:val="21"/>
          <w:szCs w:val="21"/>
          <w:lang w:eastAsia="es-ES" w:bidi="es-ES"/>
        </w:rPr>
        <w:t>2019 - Cambios en las variables investigadas en el formulario de levantamiento (ENESEM 2018):</w:t>
      </w:r>
      <w:r w:rsidRPr="00582936">
        <w:rPr>
          <w:rFonts w:ascii="Century Gothic" w:eastAsia="Century Gothic" w:hAnsi="Century Gothic" w:cs="Century Gothic"/>
          <w:iCs/>
          <w:color w:val="6E6E7C"/>
          <w:sz w:val="21"/>
          <w:szCs w:val="21"/>
          <w:lang w:eastAsia="es-ES" w:bidi="es-ES"/>
        </w:rPr>
        <w:t xml:space="preserve"> En el año 2019 (periodo de referencia 2018), se implementaron mejoras en las siguientes secciones y capítulos del formulario: i) Sección de identificación y ubicación, ii) Ventas netas por tipo de productos/servicios, iii) Activos fijos tangibles e intangibles, iv) Personal ocupado, V) Manejo de aguas residuales y otros. Las mejoras en los capítulos antes detallados fueron implementadas con el fin de determinar criterios de validación y así asegurar la calidad del dato de la encuesta. Se homologó también los grupos etarios del personal ocupado en las empresas de investigación de acuerdo con el Código de la Niñez y Adolescencia en el capítulo que recoge información del personal ocupado. Además, se presentan resultados respecto al uso de TIC en empresas e información de establecimientos del periodo 2016-2018.</w:t>
      </w:r>
    </w:p>
    <w:p w14:paraId="7AF6925C" w14:textId="77777777" w:rsidR="006A74FA" w:rsidRPr="00582936" w:rsidRDefault="006A74FA" w:rsidP="006A74FA">
      <w:pPr>
        <w:spacing w:before="240" w:line="276" w:lineRule="auto"/>
        <w:jc w:val="both"/>
        <w:rPr>
          <w:rFonts w:ascii="Century Gothic" w:eastAsia="Calibri" w:hAnsi="Century Gothic" w:cs="Times New Roman"/>
          <w:iCs/>
          <w:color w:val="6E6E7C"/>
          <w:sz w:val="21"/>
          <w:szCs w:val="21"/>
        </w:rPr>
      </w:pPr>
      <w:r w:rsidRPr="00582936">
        <w:rPr>
          <w:rFonts w:ascii="Century Gothic" w:eastAsia="Century Gothic" w:hAnsi="Century Gothic" w:cs="Century Gothic"/>
          <w:b/>
          <w:iCs/>
          <w:color w:val="6E6E7C"/>
          <w:sz w:val="21"/>
          <w:szCs w:val="21"/>
          <w:lang w:eastAsia="es-ES" w:bidi="es-ES"/>
        </w:rPr>
        <w:t>2020 - Cambios en las variables investigadas en el formulario de levantamiento (ENESEM 2020):</w:t>
      </w:r>
      <w:r w:rsidRPr="00582936">
        <w:rPr>
          <w:rFonts w:ascii="Century Gothic" w:eastAsia="Century Gothic" w:hAnsi="Century Gothic" w:cs="Century Gothic"/>
          <w:iCs/>
          <w:color w:val="6E6E7C"/>
          <w:sz w:val="21"/>
          <w:szCs w:val="21"/>
          <w:lang w:eastAsia="es-ES" w:bidi="es-ES"/>
        </w:rPr>
        <w:t xml:space="preserve"> En el año 2020 (periodo de referencia 2019), se implementaron preguntas en la sección C. “Funcionamiento durante el 2019”, se añadió </w:t>
      </w:r>
      <w:r w:rsidRPr="00582936">
        <w:rPr>
          <w:rFonts w:ascii="Century Gothic" w:eastAsia="Calibri" w:hAnsi="Century Gothic" w:cs="Times New Roman"/>
          <w:iCs/>
          <w:color w:val="6E6E7C"/>
          <w:sz w:val="21"/>
          <w:szCs w:val="21"/>
        </w:rPr>
        <w:t xml:space="preserve">la variable Código Único Eléctrico Nacional (CUEN), uso de la facturación electrónica, entidades que ejercen control a las empresas investigadas o si forman parte de un consorcio y la subsección derecho de competencia. </w:t>
      </w:r>
    </w:p>
    <w:p w14:paraId="6059BFB1" w14:textId="77777777" w:rsidR="006A74FA" w:rsidRPr="00582936" w:rsidRDefault="006A74FA" w:rsidP="006A74FA">
      <w:pPr>
        <w:spacing w:before="24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Con respecto al “Capítulo 1. Estado de Resultados”, se incluyeron preguntas sobre el estado de la situación financiera de la empresa, acceso a créditos y tipo de institución financiera. Por otro lado, en el “Capítulo 2. Ventas netas por tipo de producto”, se incluyó variables que permiten identificar el destino de la producción como porcentaje (consumo intermedio, autoconsumo; o consumo final). En esta misma sección se incluyó el apartado “Actividades y Gastos para el desarrollo de innovaciones de productos y procesos 2019”, que investiga en general la inversión en Investigación y Desarrollo (I+D); mientras que, en el “Capítulo 3. Costo de materias primas” se incluye la variable porcentaje de compras netas locales de Materia prima de origen extranjero. </w:t>
      </w:r>
    </w:p>
    <w:p w14:paraId="6E1BD545" w14:textId="77777777" w:rsidR="006A74FA" w:rsidRPr="00582936" w:rsidRDefault="006A74FA" w:rsidP="00CE2EB4">
      <w:p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Times New Roman"/>
          <w:iCs/>
          <w:color w:val="6E6E7C"/>
          <w:sz w:val="21"/>
          <w:szCs w:val="21"/>
        </w:rPr>
        <w:t>Finalmente, en el “</w:t>
      </w:r>
      <w:r w:rsidRPr="00582936">
        <w:rPr>
          <w:rFonts w:ascii="Century Gothic" w:eastAsia="Calibri" w:hAnsi="Century Gothic" w:cs="Calibri"/>
          <w:iCs/>
          <w:color w:val="6E6E7C"/>
          <w:sz w:val="21"/>
          <w:szCs w:val="21"/>
        </w:rPr>
        <w:t>Capítulo 5. Personal ocupado” se incluyó el detalle del total de personal ocupado desagregado por provincia en la que labora el trabajador según la Clasificación Internacional de Ocupaciones (CIUO).</w:t>
      </w:r>
    </w:p>
    <w:p w14:paraId="3CD1AE74" w14:textId="77777777" w:rsidR="006A74FA" w:rsidRPr="00582936" w:rsidRDefault="006A74FA" w:rsidP="00CE2EB4">
      <w:pPr>
        <w:spacing w:line="276" w:lineRule="auto"/>
        <w:jc w:val="both"/>
        <w:rPr>
          <w:rFonts w:ascii="Century Gothic" w:eastAsia="Calibri" w:hAnsi="Century Gothic" w:cs="Calibri"/>
          <w:iCs/>
          <w:color w:val="6E6E7C"/>
          <w:sz w:val="21"/>
          <w:szCs w:val="21"/>
        </w:rPr>
      </w:pPr>
    </w:p>
    <w:p w14:paraId="531E71AE" w14:textId="77777777" w:rsidR="006A74FA" w:rsidRPr="00582936" w:rsidRDefault="006A74FA" w:rsidP="00CE2EB4">
      <w:pPr>
        <w:spacing w:after="200" w:line="276" w:lineRule="auto"/>
        <w:jc w:val="both"/>
        <w:rPr>
          <w:rFonts w:ascii="Century Gothic" w:eastAsia="Calibri" w:hAnsi="Century Gothic" w:cs="Times New Roman"/>
          <w:iCs/>
          <w:color w:val="6E6E7C"/>
          <w:sz w:val="21"/>
          <w:szCs w:val="21"/>
        </w:rPr>
      </w:pPr>
      <w:r w:rsidRPr="00582936">
        <w:rPr>
          <w:rFonts w:ascii="Century Gothic" w:eastAsia="Century Gothic" w:hAnsi="Century Gothic" w:cs="Century Gothic"/>
          <w:b/>
          <w:iCs/>
          <w:color w:val="6E6E7C"/>
          <w:sz w:val="21"/>
          <w:szCs w:val="21"/>
          <w:lang w:eastAsia="es-ES" w:bidi="es-ES"/>
        </w:rPr>
        <w:t xml:space="preserve">2021 - </w:t>
      </w:r>
      <w:r w:rsidRPr="00582936">
        <w:rPr>
          <w:rFonts w:ascii="Century Gothic" w:eastAsia="Times New Roman" w:hAnsi="Century Gothic" w:cs="Arial"/>
          <w:b/>
          <w:iCs/>
          <w:color w:val="6E6E7C"/>
          <w:sz w:val="21"/>
          <w:szCs w:val="21"/>
          <w:lang w:eastAsia="es-EC"/>
        </w:rPr>
        <w:t xml:space="preserve">Emergencia sanitaria por la Covid-19 y ejercicio de homologación en el cálculo de indicadores económicos (ENESEM 2020): </w:t>
      </w:r>
      <w:r w:rsidRPr="00582936">
        <w:rPr>
          <w:rFonts w:ascii="Century Gothic" w:eastAsia="Calibri" w:hAnsi="Century Gothic" w:cs="Times New Roman"/>
          <w:iCs/>
          <w:color w:val="6E6E7C"/>
          <w:sz w:val="21"/>
          <w:szCs w:val="21"/>
        </w:rPr>
        <w:t xml:space="preserve">En la ronda 2020, la encuesta aplica un ejercicio de equiparación para el cálculo de los agregados económicos producción y consumo intermedio con los procedimientos de las estadísticas de síntesis utilizados en las Cuentas Satélite (CS), que ejecuta el INEC. Este ejercicio se basa en la revisión conceptual de cálculo </w:t>
      </w:r>
      <w:r w:rsidR="008772EA" w:rsidRPr="00582936">
        <w:rPr>
          <w:rFonts w:ascii="Century Gothic" w:eastAsia="Calibri" w:hAnsi="Century Gothic" w:cs="Times New Roman"/>
          <w:iCs/>
          <w:color w:val="6E6E7C"/>
          <w:sz w:val="21"/>
          <w:szCs w:val="21"/>
        </w:rPr>
        <w:t>de acuerdo con el</w:t>
      </w:r>
      <w:r w:rsidRPr="00582936">
        <w:rPr>
          <w:rFonts w:ascii="Century Gothic" w:eastAsia="Calibri" w:hAnsi="Century Gothic" w:cs="Times New Roman"/>
          <w:iCs/>
          <w:color w:val="6E6E7C"/>
          <w:sz w:val="21"/>
          <w:szCs w:val="21"/>
        </w:rPr>
        <w:t xml:space="preserve"> Sistema de Cuentas Nacionales (SCN 2008).</w:t>
      </w:r>
    </w:p>
    <w:p w14:paraId="51FBFC5F"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lastRenderedPageBreak/>
        <w:t>Por otro lado, en el periodo de referencia 2020 se declaró la emergencia sanitaria por la Covid-19, lo que provocó un impacto (descenso en los ingresos, el empleo y las utilidades empresariales). Además, en este año de investigación se actualizaron preguntas cualitativas del “Capítulo 5. Personal ocupado”.</w:t>
      </w:r>
    </w:p>
    <w:p w14:paraId="4B0DB263" w14:textId="77777777" w:rsidR="006A74FA" w:rsidRPr="00582936" w:rsidRDefault="006A74FA" w:rsidP="006A74FA">
      <w:pPr>
        <w:spacing w:after="160" w:line="259" w:lineRule="auto"/>
        <w:jc w:val="both"/>
        <w:rPr>
          <w:rFonts w:ascii="Century Gothic" w:eastAsia="Calibri" w:hAnsi="Century Gothic" w:cs="Times New Roman"/>
          <w:iCs/>
          <w:color w:val="6E6E7C"/>
          <w:sz w:val="21"/>
          <w:szCs w:val="21"/>
        </w:rPr>
      </w:pPr>
      <w:r w:rsidRPr="00582936">
        <w:rPr>
          <w:rFonts w:ascii="Century Gothic" w:eastAsia="Century Gothic" w:hAnsi="Century Gothic" w:cs="Century Gothic"/>
          <w:b/>
          <w:iCs/>
          <w:color w:val="6E6E7C"/>
          <w:sz w:val="21"/>
          <w:szCs w:val="21"/>
          <w:lang w:eastAsia="es-ES" w:bidi="es-ES"/>
        </w:rPr>
        <w:t>2022 – Mayor aprovechamiento de los registros administrativos empresariales (ENESEM 2021):</w:t>
      </w:r>
      <w:r w:rsidRPr="00582936">
        <w:rPr>
          <w:rFonts w:ascii="Century Gothic" w:eastAsia="Times New Roman" w:hAnsi="Century Gothic" w:cs="Arial"/>
          <w:b/>
          <w:bCs/>
          <w:iCs/>
          <w:color w:val="6E6E7C"/>
          <w:sz w:val="21"/>
          <w:szCs w:val="21"/>
          <w:lang w:eastAsia="es-EC"/>
        </w:rPr>
        <w:t xml:space="preserve"> </w:t>
      </w:r>
      <w:r w:rsidRPr="00582936">
        <w:rPr>
          <w:rFonts w:ascii="Century Gothic" w:eastAsia="Calibri" w:hAnsi="Century Gothic" w:cs="Times New Roman"/>
          <w:iCs/>
          <w:color w:val="6E6E7C"/>
          <w:sz w:val="21"/>
          <w:szCs w:val="21"/>
        </w:rPr>
        <w:t>En la ronda 2021, con la finalidad de reducir la carga de respuesta al informante, optimizar los recursos de la recolección y evitar la duplicidad de esfuerzos, se realiza el ejercicio de precarga de las variables de empleo (personal afiliado), según sexo y categorías de ocupación en el “Capítulo 5. Personal Afiliado”, la fuente de información es el Registro Estadístico de Empleo en la Seguridad Social (REESS).</w:t>
      </w:r>
    </w:p>
    <w:p w14:paraId="67814CB0" w14:textId="77777777" w:rsidR="006C2B04" w:rsidRPr="00582936" w:rsidRDefault="006C2B04" w:rsidP="006C2B04">
      <w:pPr>
        <w:spacing w:after="160" w:line="259" w:lineRule="auto"/>
        <w:jc w:val="both"/>
        <w:rPr>
          <w:rFonts w:ascii="Century Gothic" w:eastAsia="Calibri" w:hAnsi="Century Gothic" w:cs="Arial"/>
          <w:b/>
          <w:bCs/>
          <w:iCs/>
          <w:color w:val="6E6E7C"/>
          <w:sz w:val="21"/>
          <w:szCs w:val="21"/>
          <w:lang w:eastAsia="es-EC"/>
        </w:rPr>
      </w:pPr>
      <w:r w:rsidRPr="00582936">
        <w:rPr>
          <w:rFonts w:ascii="Century Gothic" w:eastAsia="Century Gothic" w:hAnsi="Century Gothic" w:cs="Century Gothic"/>
          <w:b/>
          <w:iCs/>
          <w:color w:val="6E6E7C"/>
          <w:sz w:val="21"/>
          <w:szCs w:val="21"/>
          <w:lang w:eastAsia="es-ES" w:bidi="es-ES"/>
        </w:rPr>
        <w:t xml:space="preserve">2023 – </w:t>
      </w:r>
      <w:r w:rsidRPr="007D32C8">
        <w:rPr>
          <w:rFonts w:ascii="Century Gothic" w:eastAsia="Times New Roman" w:hAnsi="Century Gothic" w:cs="Arial"/>
          <w:b/>
          <w:color w:val="767171" w:themeColor="background2" w:themeShade="80"/>
          <w:sz w:val="20"/>
          <w:szCs w:val="20"/>
          <w:lang w:eastAsia="es-EC"/>
        </w:rPr>
        <w:t>Cambio e inclusión de variables en secciones y capítulos del formulario</w:t>
      </w:r>
      <w:r w:rsidRPr="00582936">
        <w:rPr>
          <w:rFonts w:ascii="Century Gothic" w:eastAsia="Century Gothic" w:hAnsi="Century Gothic" w:cs="Century Gothic"/>
          <w:b/>
          <w:iCs/>
          <w:color w:val="6E6E7C"/>
          <w:sz w:val="21"/>
          <w:szCs w:val="21"/>
          <w:lang w:eastAsia="es-ES" w:bidi="es-ES"/>
        </w:rPr>
        <w:t xml:space="preserve"> (ENESEM 2022): </w:t>
      </w:r>
      <w:r>
        <w:rPr>
          <w:rFonts w:ascii="Century Gothic" w:hAnsi="Century Gothic"/>
          <w:color w:val="6E6E7C"/>
          <w:sz w:val="21"/>
          <w:szCs w:val="21"/>
        </w:rPr>
        <w:t>En la ronda 2022 se incluyó las secciones</w:t>
      </w:r>
      <w:r w:rsidRPr="00582936">
        <w:rPr>
          <w:rFonts w:ascii="Century Gothic" w:eastAsia="Calibri" w:hAnsi="Century Gothic" w:cs="Times New Roman"/>
          <w:iCs/>
          <w:color w:val="6E6E7C"/>
          <w:sz w:val="21"/>
          <w:szCs w:val="21"/>
        </w:rPr>
        <w:t xml:space="preserve">: “Capítulo 12: Gastos en Productos Médicos” y “Directorio de empresas”, además se incrementaron preguntas y literales en los capítulos: </w:t>
      </w:r>
      <w:r>
        <w:rPr>
          <w:rFonts w:ascii="Century Gothic" w:eastAsia="Calibri" w:hAnsi="Century Gothic" w:cs="Times New Roman"/>
          <w:iCs/>
          <w:color w:val="6E6E7C"/>
          <w:sz w:val="21"/>
          <w:szCs w:val="21"/>
        </w:rPr>
        <w:t>“</w:t>
      </w:r>
      <w:r w:rsidRPr="00582936">
        <w:rPr>
          <w:rFonts w:ascii="Century Gothic" w:eastAsia="Calibri" w:hAnsi="Century Gothic" w:cs="Times New Roman"/>
          <w:iCs/>
          <w:color w:val="6E6E7C"/>
          <w:sz w:val="21"/>
          <w:szCs w:val="21"/>
        </w:rPr>
        <w:t>Sección A: Identificación y Ubicación</w:t>
      </w:r>
      <w:r>
        <w:rPr>
          <w:rFonts w:ascii="Century Gothic" w:eastAsia="Calibri" w:hAnsi="Century Gothic" w:cs="Times New Roman"/>
          <w:iCs/>
          <w:color w:val="6E6E7C"/>
          <w:sz w:val="21"/>
          <w:szCs w:val="21"/>
        </w:rPr>
        <w:t>”</w:t>
      </w:r>
      <w:r w:rsidRPr="00582936">
        <w:rPr>
          <w:rFonts w:ascii="Century Gothic" w:eastAsia="Calibri" w:hAnsi="Century Gothic" w:cs="Times New Roman"/>
          <w:iCs/>
          <w:color w:val="6E6E7C"/>
          <w:sz w:val="21"/>
          <w:szCs w:val="21"/>
        </w:rPr>
        <w:t xml:space="preserve">, </w:t>
      </w:r>
      <w:r>
        <w:rPr>
          <w:rFonts w:ascii="Century Gothic" w:eastAsia="Calibri" w:hAnsi="Century Gothic" w:cs="Times New Roman"/>
          <w:iCs/>
          <w:color w:val="6E6E7C"/>
          <w:sz w:val="21"/>
          <w:szCs w:val="21"/>
        </w:rPr>
        <w:t>“</w:t>
      </w:r>
      <w:r w:rsidRPr="00582936">
        <w:rPr>
          <w:rFonts w:ascii="Century Gothic" w:eastAsia="Calibri" w:hAnsi="Century Gothic" w:cs="Times New Roman"/>
          <w:iCs/>
          <w:color w:val="6E6E7C"/>
          <w:sz w:val="21"/>
          <w:szCs w:val="21"/>
        </w:rPr>
        <w:t>Sección C: Funcionamiento durante el 2022</w:t>
      </w:r>
      <w:r>
        <w:rPr>
          <w:rFonts w:ascii="Century Gothic" w:eastAsia="Calibri" w:hAnsi="Century Gothic" w:cs="Times New Roman"/>
          <w:iCs/>
          <w:color w:val="6E6E7C"/>
          <w:sz w:val="21"/>
          <w:szCs w:val="21"/>
        </w:rPr>
        <w:t>”</w:t>
      </w:r>
      <w:r w:rsidRPr="00582936">
        <w:rPr>
          <w:rFonts w:ascii="Century Gothic" w:eastAsia="Calibri" w:hAnsi="Century Gothic" w:cs="Times New Roman"/>
          <w:iCs/>
          <w:color w:val="6E6E7C"/>
          <w:sz w:val="21"/>
          <w:szCs w:val="21"/>
        </w:rPr>
        <w:t xml:space="preserve">, </w:t>
      </w:r>
      <w:r>
        <w:rPr>
          <w:rFonts w:ascii="Century Gothic" w:eastAsia="Calibri" w:hAnsi="Century Gothic" w:cs="Times New Roman"/>
          <w:iCs/>
          <w:color w:val="6E6E7C"/>
          <w:sz w:val="21"/>
          <w:szCs w:val="21"/>
        </w:rPr>
        <w:t>“</w:t>
      </w:r>
      <w:r w:rsidRPr="00582936">
        <w:rPr>
          <w:rFonts w:ascii="Century Gothic" w:eastAsia="Calibri" w:hAnsi="Century Gothic" w:cs="Times New Roman"/>
          <w:iCs/>
          <w:color w:val="6E6E7C"/>
          <w:sz w:val="21"/>
          <w:szCs w:val="21"/>
        </w:rPr>
        <w:t>Capítulo 1. Estado de resultados año 2022</w:t>
      </w:r>
      <w:r>
        <w:rPr>
          <w:rFonts w:ascii="Century Gothic" w:eastAsia="Calibri" w:hAnsi="Century Gothic" w:cs="Times New Roman"/>
          <w:iCs/>
          <w:color w:val="6E6E7C"/>
          <w:sz w:val="21"/>
          <w:szCs w:val="21"/>
        </w:rPr>
        <w:t>”</w:t>
      </w:r>
      <w:r w:rsidRPr="00582936">
        <w:rPr>
          <w:rFonts w:ascii="Century Gothic" w:eastAsia="Calibri" w:hAnsi="Century Gothic" w:cs="Times New Roman"/>
          <w:iCs/>
          <w:color w:val="6E6E7C"/>
          <w:sz w:val="21"/>
          <w:szCs w:val="21"/>
        </w:rPr>
        <w:t xml:space="preserve">, </w:t>
      </w:r>
      <w:r>
        <w:rPr>
          <w:rFonts w:ascii="Century Gothic" w:eastAsia="Calibri" w:hAnsi="Century Gothic" w:cs="Times New Roman"/>
          <w:iCs/>
          <w:color w:val="6E6E7C"/>
          <w:sz w:val="21"/>
          <w:szCs w:val="21"/>
        </w:rPr>
        <w:t xml:space="preserve">Capítulo </w:t>
      </w:r>
      <w:r w:rsidRPr="00582936">
        <w:rPr>
          <w:rFonts w:ascii="Century Gothic" w:eastAsia="Calibri" w:hAnsi="Century Gothic" w:cs="Times New Roman"/>
          <w:iCs/>
          <w:color w:val="6E6E7C"/>
          <w:sz w:val="21"/>
          <w:szCs w:val="21"/>
        </w:rPr>
        <w:t>10. Manejo de aguas: agua, manejo de aguas residuales y otr</w:t>
      </w:r>
      <w:r>
        <w:rPr>
          <w:rFonts w:ascii="Century Gothic" w:eastAsia="Calibri" w:hAnsi="Century Gothic" w:cs="Times New Roman"/>
          <w:iCs/>
          <w:color w:val="6E6E7C"/>
          <w:sz w:val="21"/>
          <w:szCs w:val="21"/>
        </w:rPr>
        <w:t>os residuos y Capítulo 11. T</w:t>
      </w:r>
      <w:r w:rsidRPr="00582936">
        <w:rPr>
          <w:rFonts w:ascii="Century Gothic" w:eastAsia="Calibri" w:hAnsi="Century Gothic" w:cs="Times New Roman"/>
          <w:iCs/>
          <w:color w:val="6E6E7C"/>
          <w:sz w:val="21"/>
          <w:szCs w:val="21"/>
        </w:rPr>
        <w:t>ecnologías de l</w:t>
      </w:r>
      <w:r>
        <w:rPr>
          <w:rFonts w:ascii="Century Gothic" w:eastAsia="Calibri" w:hAnsi="Century Gothic" w:cs="Times New Roman"/>
          <w:iCs/>
          <w:color w:val="6E6E7C"/>
          <w:sz w:val="21"/>
          <w:szCs w:val="21"/>
        </w:rPr>
        <w:t>a información y la comunicación. Finalmente</w:t>
      </w:r>
      <w:r w:rsidRPr="00582936">
        <w:rPr>
          <w:rFonts w:ascii="Century Gothic" w:eastAsia="Calibri" w:hAnsi="Century Gothic" w:cs="Times New Roman"/>
          <w:iCs/>
          <w:color w:val="6E6E7C"/>
          <w:sz w:val="21"/>
          <w:szCs w:val="21"/>
        </w:rPr>
        <w:t xml:space="preserve">, se realizó el bloqueo de preguntas/variables </w:t>
      </w:r>
      <w:r>
        <w:rPr>
          <w:rFonts w:ascii="Century Gothic" w:eastAsia="Calibri" w:hAnsi="Century Gothic" w:cs="Times New Roman"/>
          <w:iCs/>
          <w:color w:val="6E6E7C"/>
          <w:sz w:val="21"/>
          <w:szCs w:val="21"/>
        </w:rPr>
        <w:t>en</w:t>
      </w:r>
      <w:r w:rsidRPr="00582936">
        <w:rPr>
          <w:rFonts w:ascii="Century Gothic" w:eastAsia="Calibri" w:hAnsi="Century Gothic" w:cs="Times New Roman"/>
          <w:iCs/>
          <w:color w:val="6E6E7C"/>
          <w:sz w:val="21"/>
          <w:szCs w:val="21"/>
        </w:rPr>
        <w:t xml:space="preserve"> los capítulos 2. Ventas netas, Capítulo 4. Activos fijos tangibles e intangibles Año 2022, y 7. Gestión Ambiental.</w:t>
      </w:r>
    </w:p>
    <w:p w14:paraId="6667FC23"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3E40C2C0"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557C1923"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14DD484E"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082BA418"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0D42D256"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578BE7C3"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2D46F85C"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16B2B711"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6125D241"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02FFE19B"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2D7EB08E"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704808BC"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1683FA47"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60253182" w14:textId="77777777" w:rsidR="006A74FA" w:rsidRPr="00582936" w:rsidRDefault="006A74FA" w:rsidP="006A74FA">
      <w:pPr>
        <w:spacing w:after="160" w:line="259" w:lineRule="auto"/>
        <w:jc w:val="center"/>
        <w:rPr>
          <w:rFonts w:ascii="Century Gothic" w:eastAsia="Calibri" w:hAnsi="Century Gothic" w:cs="Arial"/>
          <w:b/>
          <w:bCs/>
          <w:iCs/>
          <w:color w:val="6E6E7C"/>
          <w:lang w:eastAsia="es-EC"/>
        </w:rPr>
      </w:pPr>
    </w:p>
    <w:p w14:paraId="0DE93F84" w14:textId="77777777" w:rsidR="006A74FA" w:rsidRPr="00582936" w:rsidRDefault="006A74FA" w:rsidP="006A74FA">
      <w:pPr>
        <w:pStyle w:val="Ttulo3"/>
        <w:numPr>
          <w:ilvl w:val="0"/>
          <w:numId w:val="1"/>
        </w:numPr>
        <w:rPr>
          <w:color w:val="6E6E7C"/>
          <w:sz w:val="40"/>
        </w:rPr>
      </w:pPr>
      <w:bookmarkStart w:id="35" w:name="_Toc126657974"/>
      <w:bookmarkStart w:id="36" w:name="_Toc148617325"/>
      <w:bookmarkStart w:id="37" w:name="_Toc161322537"/>
      <w:r w:rsidRPr="00582936">
        <w:rPr>
          <w:color w:val="6E6E7C"/>
          <w:sz w:val="40"/>
        </w:rPr>
        <w:lastRenderedPageBreak/>
        <w:t>Planificación y conceptualización</w:t>
      </w:r>
      <w:bookmarkEnd w:id="35"/>
      <w:bookmarkEnd w:id="36"/>
      <w:bookmarkEnd w:id="37"/>
    </w:p>
    <w:p w14:paraId="48366506" w14:textId="77777777" w:rsidR="006A74FA" w:rsidRPr="00582936" w:rsidRDefault="006A74FA" w:rsidP="006A74FA">
      <w:pPr>
        <w:rPr>
          <w:rFonts w:ascii="Century Gothic" w:hAnsi="Century Gothic"/>
          <w:color w:val="6E6E7C"/>
        </w:rPr>
      </w:pPr>
    </w:p>
    <w:p w14:paraId="69CE6840" w14:textId="77777777" w:rsidR="006A74FA" w:rsidRPr="00582936" w:rsidRDefault="006A74FA" w:rsidP="006A74FA">
      <w:pPr>
        <w:spacing w:after="200" w:line="276" w:lineRule="auto"/>
        <w:jc w:val="both"/>
        <w:rPr>
          <w:rFonts w:ascii="Century Gothic" w:eastAsia="Times New Roman" w:hAnsi="Century Gothic" w:cs="Arial"/>
          <w:iCs/>
          <w:color w:val="6E6E7C"/>
          <w:sz w:val="21"/>
          <w:szCs w:val="21"/>
          <w:lang w:eastAsia="es-EC"/>
        </w:rPr>
      </w:pPr>
      <w:r w:rsidRPr="00582936">
        <w:rPr>
          <w:rFonts w:ascii="Century Gothic" w:eastAsia="Times New Roman" w:hAnsi="Century Gothic" w:cs="Arial"/>
          <w:iCs/>
          <w:color w:val="6E6E7C"/>
          <w:sz w:val="21"/>
          <w:szCs w:val="21"/>
          <w:lang w:eastAsia="es-EC"/>
        </w:rPr>
        <w:t xml:space="preserve">En esta fase se detallan los procedimientos y métodos utilizados para identificar las necesidades de información estadística, puntualización de los objetivos, delimitación de la investigación, definición de conceptos y metodología; así como, se comprueba la disponibilidad de datos de las operaciones estadísticas existentes que constan en el Programa Nacional de Estadística. Finalmente, se prepara el plan de proyecto en el que se evidencia que la operación estadística se alinea a los objetivos del Plan Nacional de Desarrollo. </w:t>
      </w:r>
    </w:p>
    <w:p w14:paraId="2E824D9F" w14:textId="77777777" w:rsidR="006A74FA" w:rsidRPr="00BD0CD2" w:rsidRDefault="006A74FA" w:rsidP="006A74FA">
      <w:pPr>
        <w:pStyle w:val="Ttulo2"/>
        <w:numPr>
          <w:ilvl w:val="1"/>
          <w:numId w:val="1"/>
        </w:numPr>
        <w:spacing w:before="0" w:line="276" w:lineRule="auto"/>
        <w:rPr>
          <w:rFonts w:eastAsiaTheme="minorHAnsi" w:cstheme="minorBidi"/>
          <w:bCs/>
          <w:color w:val="6E6E7C"/>
          <w:sz w:val="28"/>
          <w:szCs w:val="44"/>
        </w:rPr>
      </w:pPr>
      <w:bookmarkStart w:id="38" w:name="_Toc126657975"/>
      <w:bookmarkStart w:id="39" w:name="_Toc148617326"/>
      <w:bookmarkStart w:id="40" w:name="_Toc161322538"/>
      <w:r w:rsidRPr="00BD0CD2">
        <w:rPr>
          <w:rFonts w:eastAsiaTheme="minorHAnsi" w:cstheme="minorBidi"/>
          <w:bCs/>
          <w:color w:val="6E6E7C"/>
          <w:sz w:val="28"/>
          <w:szCs w:val="44"/>
        </w:rPr>
        <w:t>Necesidad y utilidad de la información</w:t>
      </w:r>
      <w:bookmarkEnd w:id="38"/>
      <w:bookmarkEnd w:id="39"/>
      <w:bookmarkEnd w:id="40"/>
      <w:r w:rsidRPr="00BD0CD2">
        <w:rPr>
          <w:rFonts w:eastAsiaTheme="minorHAnsi" w:cstheme="minorBidi"/>
          <w:bCs/>
          <w:color w:val="6E6E7C"/>
          <w:sz w:val="28"/>
          <w:szCs w:val="44"/>
        </w:rPr>
        <w:t xml:space="preserve"> </w:t>
      </w:r>
    </w:p>
    <w:p w14:paraId="57E89597" w14:textId="77777777" w:rsidR="006A74FA" w:rsidRPr="00582936" w:rsidRDefault="006A74FA" w:rsidP="006A74FA">
      <w:pPr>
        <w:rPr>
          <w:rFonts w:ascii="Century Gothic" w:hAnsi="Century Gothic"/>
          <w:color w:val="6E6E7C"/>
        </w:rPr>
      </w:pPr>
    </w:p>
    <w:p w14:paraId="10BFB0FA" w14:textId="77777777" w:rsidR="006A74FA" w:rsidRPr="00582936" w:rsidRDefault="006A74FA" w:rsidP="006A74FA">
      <w:pPr>
        <w:spacing w:after="200" w:line="276" w:lineRule="auto"/>
        <w:jc w:val="both"/>
        <w:rPr>
          <w:rFonts w:ascii="Century Gothic" w:eastAsia="Times New Roman" w:hAnsi="Century Gothic" w:cs="Arial"/>
          <w:iCs/>
          <w:color w:val="6E6E7C"/>
          <w:sz w:val="21"/>
          <w:szCs w:val="21"/>
          <w:lang w:eastAsia="es-EC"/>
        </w:rPr>
      </w:pPr>
      <w:bookmarkStart w:id="41" w:name="_Toc532297941"/>
      <w:r w:rsidRPr="00582936">
        <w:rPr>
          <w:rFonts w:ascii="Century Gothic" w:eastAsia="Times New Roman" w:hAnsi="Century Gothic" w:cs="Arial"/>
          <w:iCs/>
          <w:color w:val="6E6E7C"/>
          <w:sz w:val="21"/>
          <w:szCs w:val="21"/>
          <w:lang w:eastAsia="es-EC"/>
        </w:rPr>
        <w:t>La necesidad de contar con información actualizada y oportuna sobre estadísticas empresariales en el país exige al INEC, como ente rector del Sistema Estadístico Nacional, planificar y ejecutar anualmente el levantamiento de la ENESEM.</w:t>
      </w:r>
    </w:p>
    <w:p w14:paraId="24F5289C" w14:textId="77777777" w:rsidR="006A74FA" w:rsidRPr="00582936" w:rsidRDefault="006A74FA" w:rsidP="006A74FA">
      <w:pPr>
        <w:spacing w:after="200" w:line="276" w:lineRule="auto"/>
        <w:jc w:val="both"/>
        <w:rPr>
          <w:rFonts w:ascii="Century Gothic" w:eastAsia="Times New Roman" w:hAnsi="Century Gothic" w:cs="Arial"/>
          <w:iCs/>
          <w:color w:val="6E6E7C"/>
          <w:sz w:val="21"/>
          <w:szCs w:val="21"/>
          <w:lang w:eastAsia="es-EC"/>
        </w:rPr>
      </w:pPr>
      <w:r w:rsidRPr="00582936">
        <w:rPr>
          <w:rFonts w:ascii="Century Gothic" w:eastAsia="Times New Roman" w:hAnsi="Century Gothic" w:cs="Arial"/>
          <w:iCs/>
          <w:color w:val="6E6E7C"/>
          <w:sz w:val="21"/>
          <w:szCs w:val="21"/>
          <w:lang w:eastAsia="es-EC"/>
        </w:rPr>
        <w:t>Esta operación estadística satisface las necesidades de información de usuarios públicos y privados con respecto a la estructura y evolución económica de los sectores económicos: manufactura, minería, construcción, comercio y servicios.</w:t>
      </w:r>
    </w:p>
    <w:p w14:paraId="6C23AE94" w14:textId="597E6AF5" w:rsidR="006A74FA" w:rsidRDefault="006A74FA" w:rsidP="006A74FA">
      <w:pPr>
        <w:spacing w:after="200" w:line="276" w:lineRule="auto"/>
        <w:jc w:val="both"/>
        <w:rPr>
          <w:rFonts w:ascii="Century Gothic" w:eastAsia="Times New Roman" w:hAnsi="Century Gothic" w:cs="Arial"/>
          <w:iCs/>
          <w:color w:val="6E6E7C"/>
          <w:sz w:val="21"/>
          <w:szCs w:val="21"/>
          <w:lang w:eastAsia="es-EC"/>
        </w:rPr>
      </w:pPr>
      <w:r w:rsidRPr="00582936">
        <w:rPr>
          <w:rFonts w:ascii="Century Gothic" w:eastAsia="Times New Roman" w:hAnsi="Century Gothic" w:cs="Arial"/>
          <w:iCs/>
          <w:color w:val="6E6E7C"/>
          <w:sz w:val="21"/>
          <w:szCs w:val="21"/>
          <w:lang w:eastAsia="es-EC"/>
        </w:rPr>
        <w:t>La ENESEM forma parte de las operaciones del Programa Nacional de Estadística y contribuye al seguimiento del Plan Nacional de Desarrollo (PND) y de los Objetivos de Desarrollo Sostenible</w:t>
      </w:r>
      <w:r w:rsidR="004A6CED">
        <w:rPr>
          <w:rFonts w:ascii="Century Gothic" w:eastAsia="Times New Roman" w:hAnsi="Century Gothic" w:cs="Arial"/>
          <w:iCs/>
          <w:color w:val="6E6E7C"/>
          <w:sz w:val="21"/>
          <w:szCs w:val="21"/>
          <w:lang w:eastAsia="es-EC"/>
        </w:rPr>
        <w:t>.</w:t>
      </w:r>
    </w:p>
    <w:p w14:paraId="2FED4FAA" w14:textId="77777777" w:rsidR="00FC1DCF" w:rsidRDefault="00FC1DCF" w:rsidP="00691263">
      <w:pPr>
        <w:spacing w:after="200" w:line="276" w:lineRule="auto"/>
        <w:jc w:val="both"/>
        <w:rPr>
          <w:rFonts w:ascii="Century Gothic" w:eastAsia="Times New Roman" w:hAnsi="Century Gothic" w:cs="Arial"/>
          <w:b/>
          <w:iCs/>
          <w:color w:val="6E6E7C"/>
          <w:sz w:val="21"/>
          <w:szCs w:val="21"/>
          <w:lang w:eastAsia="es-EC"/>
        </w:rPr>
      </w:pPr>
      <w:r w:rsidRPr="00FC1DCF">
        <w:rPr>
          <w:rFonts w:ascii="Century Gothic" w:eastAsia="Times New Roman" w:hAnsi="Century Gothic" w:cs="Arial"/>
          <w:b/>
          <w:iCs/>
          <w:color w:val="6E6E7C"/>
          <w:sz w:val="21"/>
          <w:szCs w:val="21"/>
          <w:lang w:eastAsia="es-EC"/>
        </w:rPr>
        <w:t>Contribución o alineación de la operación estadística al Plan Nacional de Desarrollo (PND)</w:t>
      </w:r>
    </w:p>
    <w:p w14:paraId="3E15F5D0" w14:textId="77777777" w:rsidR="00FC1DCF" w:rsidRP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Objetivo 3:</w:t>
      </w:r>
      <w:r w:rsidRPr="00FC1DCF">
        <w:rPr>
          <w:rFonts w:ascii="Century Gothic" w:eastAsia="Times New Roman" w:hAnsi="Century Gothic" w:cs="Arial"/>
          <w:iCs/>
          <w:color w:val="6E6E7C"/>
          <w:sz w:val="21"/>
          <w:szCs w:val="21"/>
          <w:lang w:eastAsia="es-EC"/>
        </w:rPr>
        <w:t xml:space="preserve"> Fomentar la productividad y competitividad en los sectores agrícola, industrial, acuícola y pesquero, bajo el enfoque de la economía circular.</w:t>
      </w:r>
    </w:p>
    <w:p w14:paraId="6B840A38" w14:textId="77777777" w:rsidR="00FC1DCF" w:rsidRP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Política 3.1:</w:t>
      </w:r>
      <w:r w:rsidRPr="00FC1DCF">
        <w:rPr>
          <w:rFonts w:ascii="Century Gothic" w:eastAsia="Times New Roman" w:hAnsi="Century Gothic" w:cs="Arial"/>
          <w:iCs/>
          <w:color w:val="6E6E7C"/>
          <w:sz w:val="21"/>
          <w:szCs w:val="21"/>
          <w:lang w:eastAsia="es-EC"/>
        </w:rPr>
        <w:t xml:space="preserve"> Mejorar la competitividad y productividad agrícola, acuícola, pesquera e industrial, incentivando el acceso a infraestructura adecuada, insumos y uso de tecnologías modernas y limpias.</w:t>
      </w:r>
    </w:p>
    <w:p w14:paraId="4389087F" w14:textId="77777777" w:rsid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Indicador:</w:t>
      </w:r>
      <w:r w:rsidRPr="00FC1DCF">
        <w:rPr>
          <w:rFonts w:ascii="Century Gothic" w:eastAsia="Times New Roman" w:hAnsi="Century Gothic" w:cs="Arial"/>
          <w:iCs/>
          <w:color w:val="6E6E7C"/>
          <w:sz w:val="21"/>
          <w:szCs w:val="21"/>
          <w:lang w:eastAsia="es-EC"/>
        </w:rPr>
        <w:t xml:space="preserve"> Incrementar el Valor Agregado Bruto (VAB) manufacturero sobre VAB primario de 1.13 al 1.24.</w:t>
      </w:r>
    </w:p>
    <w:p w14:paraId="7B17B73E" w14:textId="77777777" w:rsidR="00FC1DCF" w:rsidRPr="00FC1DCF" w:rsidRDefault="00FC1DCF" w:rsidP="00691263">
      <w:pPr>
        <w:jc w:val="both"/>
        <w:rPr>
          <w:rFonts w:ascii="Century Gothic" w:eastAsia="Times New Roman" w:hAnsi="Century Gothic" w:cs="Arial"/>
          <w:iCs/>
          <w:color w:val="6E6E7C"/>
          <w:sz w:val="21"/>
          <w:szCs w:val="21"/>
          <w:lang w:eastAsia="es-EC"/>
        </w:rPr>
      </w:pPr>
    </w:p>
    <w:p w14:paraId="57DDADD3" w14:textId="77777777" w:rsidR="00FC1DCF" w:rsidRP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Objetivo 12:</w:t>
      </w:r>
      <w:r w:rsidRPr="00FC1DCF">
        <w:rPr>
          <w:rFonts w:ascii="Century Gothic" w:eastAsia="Times New Roman" w:hAnsi="Century Gothic" w:cs="Arial"/>
          <w:iCs/>
          <w:color w:val="6E6E7C"/>
          <w:sz w:val="21"/>
          <w:szCs w:val="21"/>
          <w:lang w:eastAsia="es-EC"/>
        </w:rPr>
        <w:t xml:space="preserve"> Fomentar modelos de desarrollo sostenible aplicando medidas de adaptación y mitigación al Cambio Climático.</w:t>
      </w:r>
    </w:p>
    <w:p w14:paraId="6E624B7F" w14:textId="77777777" w:rsidR="00FC1DCF" w:rsidRP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Política 12.2:</w:t>
      </w:r>
      <w:r w:rsidRPr="00FC1DCF">
        <w:rPr>
          <w:rFonts w:ascii="Century Gothic" w:eastAsia="Times New Roman" w:hAnsi="Century Gothic" w:cs="Arial"/>
          <w:iCs/>
          <w:color w:val="6E6E7C"/>
          <w:sz w:val="21"/>
          <w:szCs w:val="21"/>
          <w:lang w:eastAsia="es-EC"/>
        </w:rPr>
        <w:t xml:space="preserve"> Incentivar los procesos de economía circular para el mejor aprovechamiento de los recursos y generación de fuentes alternas de empleo. Implementar esquemas para la gestión integral de pasivos ambientales, desechos sólidos, descargas líquidas y emisiones atmosféricas contaminantes, así como de desechos tóxicos y peligrosos tanto las zonas rurales y urbanas.</w:t>
      </w:r>
    </w:p>
    <w:p w14:paraId="4BF72ACA" w14:textId="77777777" w:rsid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Indicador:</w:t>
      </w:r>
      <w:r w:rsidRPr="00FC1DCF">
        <w:rPr>
          <w:rFonts w:ascii="Century Gothic" w:eastAsia="Times New Roman" w:hAnsi="Century Gothic" w:cs="Arial"/>
          <w:iCs/>
          <w:color w:val="6E6E7C"/>
          <w:sz w:val="21"/>
          <w:szCs w:val="21"/>
          <w:lang w:eastAsia="es-EC"/>
        </w:rPr>
        <w:t xml:space="preserve"> </w:t>
      </w:r>
    </w:p>
    <w:p w14:paraId="643177B3" w14:textId="77777777" w:rsidR="003E08CF" w:rsidRPr="00FC1DCF" w:rsidRDefault="003E08CF" w:rsidP="00691263">
      <w:pPr>
        <w:jc w:val="both"/>
        <w:rPr>
          <w:rFonts w:ascii="Century Gothic" w:eastAsia="Times New Roman" w:hAnsi="Century Gothic" w:cs="Arial"/>
          <w:iCs/>
          <w:color w:val="6E6E7C"/>
          <w:sz w:val="21"/>
          <w:szCs w:val="21"/>
          <w:lang w:eastAsia="es-EC"/>
        </w:rPr>
      </w:pPr>
    </w:p>
    <w:p w14:paraId="58C9F294" w14:textId="77777777" w:rsidR="00FC1DCF" w:rsidRDefault="00FC1DCF" w:rsidP="00691263">
      <w:pPr>
        <w:pStyle w:val="Prrafodelista"/>
        <w:numPr>
          <w:ilvl w:val="0"/>
          <w:numId w:val="40"/>
        </w:numPr>
        <w:spacing w:line="240" w:lineRule="auto"/>
        <w:rPr>
          <w:rFonts w:ascii="Century Gothic" w:eastAsia="Times New Roman" w:hAnsi="Century Gothic" w:cs="Arial"/>
          <w:iCs/>
          <w:color w:val="6E6E7C"/>
          <w:sz w:val="21"/>
          <w:szCs w:val="21"/>
          <w:lang w:eastAsia="es-EC"/>
        </w:rPr>
      </w:pPr>
      <w:r w:rsidRPr="00FC1DCF">
        <w:rPr>
          <w:rFonts w:ascii="Century Gothic" w:eastAsia="Times New Roman" w:hAnsi="Century Gothic" w:cs="Arial"/>
          <w:iCs/>
          <w:color w:val="6E6E7C"/>
          <w:sz w:val="21"/>
          <w:szCs w:val="21"/>
          <w:lang w:eastAsia="es-EC"/>
        </w:rPr>
        <w:t>Incrementar de 0% a 20% la recuperación de los residuos y/o desechos en el marco de la aplicación de las políticas de responsabilidad extendida al productor.</w:t>
      </w:r>
    </w:p>
    <w:p w14:paraId="566C0ED3" w14:textId="77777777" w:rsidR="00FC1DCF" w:rsidRDefault="00FC1DCF" w:rsidP="00691263">
      <w:pPr>
        <w:pStyle w:val="Prrafodelista"/>
        <w:numPr>
          <w:ilvl w:val="0"/>
          <w:numId w:val="40"/>
        </w:numPr>
        <w:spacing w:line="240" w:lineRule="auto"/>
        <w:rPr>
          <w:rFonts w:ascii="Century Gothic" w:eastAsia="Times New Roman" w:hAnsi="Century Gothic" w:cs="Arial"/>
          <w:iCs/>
          <w:color w:val="6E6E7C"/>
          <w:sz w:val="21"/>
          <w:szCs w:val="21"/>
          <w:lang w:eastAsia="es-EC"/>
        </w:rPr>
      </w:pPr>
      <w:r w:rsidRPr="00FC1DCF">
        <w:rPr>
          <w:rFonts w:ascii="Century Gothic" w:eastAsia="Times New Roman" w:hAnsi="Century Gothic" w:cs="Aparajita"/>
          <w:iCs/>
          <w:color w:val="6E6E7C"/>
          <w:sz w:val="21"/>
          <w:szCs w:val="21"/>
          <w:lang w:eastAsia="es-EC"/>
        </w:rPr>
        <w:t>R</w:t>
      </w:r>
      <w:r w:rsidR="00AB62B7">
        <w:rPr>
          <w:rFonts w:ascii="Century Gothic" w:eastAsia="Times New Roman" w:hAnsi="Century Gothic" w:cs="Arial"/>
          <w:iCs/>
          <w:color w:val="6E6E7C"/>
          <w:sz w:val="21"/>
          <w:szCs w:val="21"/>
          <w:lang w:eastAsia="es-EC"/>
        </w:rPr>
        <w:t>educir de 79.833 a 62.917 K</w:t>
      </w:r>
      <w:r w:rsidRPr="00FC1DCF">
        <w:rPr>
          <w:rFonts w:ascii="Century Gothic" w:eastAsia="Times New Roman" w:hAnsi="Century Gothic" w:cs="Arial"/>
          <w:iCs/>
          <w:color w:val="6E6E7C"/>
          <w:sz w:val="21"/>
          <w:szCs w:val="21"/>
          <w:lang w:eastAsia="es-EC"/>
        </w:rPr>
        <w:t>BEP la energía utilizada en los sectores de consumo.</w:t>
      </w:r>
    </w:p>
    <w:p w14:paraId="0A81A68C" w14:textId="77777777" w:rsid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lastRenderedPageBreak/>
        <w:t xml:space="preserve">Objetivo </w:t>
      </w:r>
      <w:r>
        <w:rPr>
          <w:rFonts w:ascii="Century Gothic" w:eastAsia="Times New Roman" w:hAnsi="Century Gothic" w:cs="Arial"/>
          <w:b/>
          <w:iCs/>
          <w:color w:val="6E6E7C"/>
          <w:sz w:val="21"/>
          <w:szCs w:val="21"/>
          <w:lang w:eastAsia="es-EC"/>
        </w:rPr>
        <w:t>1</w:t>
      </w:r>
      <w:r w:rsidRPr="00FC1DCF">
        <w:rPr>
          <w:rFonts w:ascii="Century Gothic" w:eastAsia="Times New Roman" w:hAnsi="Century Gothic" w:cs="Arial"/>
          <w:b/>
          <w:iCs/>
          <w:color w:val="6E6E7C"/>
          <w:sz w:val="21"/>
          <w:szCs w:val="21"/>
          <w:lang w:eastAsia="es-EC"/>
        </w:rPr>
        <w:t>3:</w:t>
      </w:r>
      <w:r w:rsidRPr="00FC1DCF">
        <w:rPr>
          <w:rFonts w:ascii="Century Gothic" w:eastAsia="Times New Roman" w:hAnsi="Century Gothic" w:cs="Arial"/>
          <w:iCs/>
          <w:color w:val="6E6E7C"/>
          <w:sz w:val="21"/>
          <w:szCs w:val="21"/>
          <w:lang w:eastAsia="es-EC"/>
        </w:rPr>
        <w:t xml:space="preserve"> Promover la gestión integral de los recursos hídricos</w:t>
      </w:r>
      <w:r>
        <w:rPr>
          <w:rFonts w:ascii="Century Gothic" w:eastAsia="Times New Roman" w:hAnsi="Century Gothic" w:cs="Arial"/>
          <w:iCs/>
          <w:color w:val="6E6E7C"/>
          <w:sz w:val="21"/>
          <w:szCs w:val="21"/>
          <w:lang w:eastAsia="es-EC"/>
        </w:rPr>
        <w:t>.</w:t>
      </w:r>
    </w:p>
    <w:p w14:paraId="2ADEFFEF" w14:textId="77777777" w:rsid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 xml:space="preserve">Política </w:t>
      </w:r>
      <w:r>
        <w:rPr>
          <w:rFonts w:ascii="Century Gothic" w:eastAsia="Times New Roman" w:hAnsi="Century Gothic" w:cs="Arial"/>
          <w:b/>
          <w:iCs/>
          <w:color w:val="6E6E7C"/>
          <w:sz w:val="21"/>
          <w:szCs w:val="21"/>
          <w:lang w:eastAsia="es-EC"/>
        </w:rPr>
        <w:t>13.2</w:t>
      </w:r>
      <w:r w:rsidRPr="00FC1DCF">
        <w:rPr>
          <w:rFonts w:ascii="Century Gothic" w:eastAsia="Times New Roman" w:hAnsi="Century Gothic" w:cs="Arial"/>
          <w:b/>
          <w:iCs/>
          <w:color w:val="6E6E7C"/>
          <w:sz w:val="21"/>
          <w:szCs w:val="21"/>
          <w:lang w:eastAsia="es-EC"/>
        </w:rPr>
        <w:t>:</w:t>
      </w:r>
      <w:r>
        <w:rPr>
          <w:rFonts w:ascii="Century Gothic" w:eastAsia="Times New Roman" w:hAnsi="Century Gothic" w:cs="Arial"/>
          <w:iCs/>
          <w:color w:val="6E6E7C"/>
          <w:sz w:val="21"/>
          <w:szCs w:val="21"/>
          <w:lang w:eastAsia="es-EC"/>
        </w:rPr>
        <w:t xml:space="preserve"> </w:t>
      </w:r>
      <w:r w:rsidRPr="00FC1DCF">
        <w:rPr>
          <w:rFonts w:ascii="Century Gothic" w:eastAsia="Times New Roman" w:hAnsi="Century Gothic" w:cs="Arial"/>
          <w:iCs/>
          <w:color w:val="6E6E7C"/>
          <w:sz w:val="21"/>
          <w:szCs w:val="21"/>
          <w:lang w:eastAsia="es-EC"/>
        </w:rPr>
        <w:t>Promover la gestión sostenible del recurso hídrico en todos sus usos y aprovechamientos.</w:t>
      </w:r>
    </w:p>
    <w:p w14:paraId="480D3AB5" w14:textId="77777777" w:rsid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Indicador:</w:t>
      </w:r>
      <w:r w:rsidRPr="00FC1DCF">
        <w:rPr>
          <w:rFonts w:ascii="Century Gothic" w:eastAsia="Times New Roman" w:hAnsi="Century Gothic" w:cs="Arial"/>
          <w:iCs/>
          <w:color w:val="6E6E7C"/>
          <w:sz w:val="21"/>
          <w:szCs w:val="21"/>
          <w:lang w:eastAsia="es-EC"/>
        </w:rPr>
        <w:t xml:space="preserve"> Incrementar las autorizaciones para el uso y aprovechamiento del recurso hídrico, de 5000 a 12.000.</w:t>
      </w:r>
    </w:p>
    <w:p w14:paraId="3E920526" w14:textId="77777777" w:rsidR="00FC1DCF" w:rsidRDefault="00FC1DCF" w:rsidP="00691263">
      <w:pPr>
        <w:jc w:val="both"/>
        <w:rPr>
          <w:rFonts w:ascii="Century Gothic" w:eastAsia="Times New Roman" w:hAnsi="Century Gothic" w:cs="Arial"/>
          <w:iCs/>
          <w:color w:val="6E6E7C"/>
          <w:sz w:val="21"/>
          <w:szCs w:val="21"/>
          <w:lang w:eastAsia="es-EC"/>
        </w:rPr>
      </w:pPr>
    </w:p>
    <w:p w14:paraId="02DC6304" w14:textId="77777777" w:rsidR="00FC1DCF" w:rsidRDefault="00FC1DCF" w:rsidP="00691263">
      <w:pPr>
        <w:jc w:val="both"/>
        <w:rPr>
          <w:rFonts w:ascii="Century Gothic" w:eastAsia="Times New Roman" w:hAnsi="Century Gothic" w:cs="Arial"/>
          <w:b/>
          <w:iCs/>
          <w:color w:val="6E6E7C"/>
          <w:sz w:val="21"/>
          <w:szCs w:val="21"/>
          <w:lang w:eastAsia="es-EC"/>
        </w:rPr>
      </w:pPr>
      <w:r w:rsidRPr="00FC1DCF">
        <w:rPr>
          <w:rFonts w:ascii="Century Gothic" w:eastAsia="Times New Roman" w:hAnsi="Century Gothic" w:cs="Arial"/>
          <w:b/>
          <w:iCs/>
          <w:color w:val="6E6E7C"/>
          <w:sz w:val="21"/>
          <w:szCs w:val="21"/>
          <w:lang w:eastAsia="es-EC"/>
        </w:rPr>
        <w:t>Indicadores de los Objetivos de Desarrollo Sostenible</w:t>
      </w:r>
    </w:p>
    <w:p w14:paraId="5BCF4C9F" w14:textId="77777777" w:rsidR="00FC1DCF" w:rsidRDefault="00FC1DCF" w:rsidP="00691263">
      <w:pPr>
        <w:jc w:val="both"/>
        <w:rPr>
          <w:rFonts w:ascii="Century Gothic" w:eastAsia="Times New Roman" w:hAnsi="Century Gothic" w:cs="Arial"/>
          <w:b/>
          <w:iCs/>
          <w:color w:val="6E6E7C"/>
          <w:sz w:val="21"/>
          <w:szCs w:val="21"/>
          <w:lang w:eastAsia="es-EC"/>
        </w:rPr>
      </w:pPr>
    </w:p>
    <w:p w14:paraId="3ABB4422" w14:textId="77777777" w:rsidR="00FC1DCF" w:rsidRDefault="00FC1DCF" w:rsidP="00691263">
      <w:pPr>
        <w:jc w:val="both"/>
        <w:rPr>
          <w:rFonts w:ascii="Century Gothic" w:eastAsia="Times New Roman" w:hAnsi="Century Gothic" w:cs="Arial"/>
          <w:iCs/>
          <w:color w:val="6E6E7C"/>
          <w:sz w:val="21"/>
          <w:szCs w:val="21"/>
          <w:lang w:eastAsia="es-EC"/>
        </w:rPr>
      </w:pPr>
      <w:r w:rsidRPr="00FC1DCF">
        <w:rPr>
          <w:rFonts w:ascii="Century Gothic" w:eastAsia="Times New Roman" w:hAnsi="Century Gothic" w:cs="Arial"/>
          <w:b/>
          <w:iCs/>
          <w:color w:val="6E6E7C"/>
          <w:sz w:val="21"/>
          <w:szCs w:val="21"/>
          <w:lang w:eastAsia="es-EC"/>
        </w:rPr>
        <w:t xml:space="preserve">Objetivo </w:t>
      </w:r>
      <w:r>
        <w:rPr>
          <w:rFonts w:ascii="Century Gothic" w:eastAsia="Times New Roman" w:hAnsi="Century Gothic" w:cs="Arial"/>
          <w:b/>
          <w:iCs/>
          <w:color w:val="6E6E7C"/>
          <w:sz w:val="21"/>
          <w:szCs w:val="21"/>
          <w:lang w:eastAsia="es-EC"/>
        </w:rPr>
        <w:t>9</w:t>
      </w:r>
      <w:r w:rsidRPr="00FC1DCF">
        <w:rPr>
          <w:rFonts w:ascii="Century Gothic" w:eastAsia="Times New Roman" w:hAnsi="Century Gothic" w:cs="Arial"/>
          <w:b/>
          <w:iCs/>
          <w:color w:val="6E6E7C"/>
          <w:sz w:val="21"/>
          <w:szCs w:val="21"/>
          <w:lang w:eastAsia="es-EC"/>
        </w:rPr>
        <w:t>:</w:t>
      </w:r>
      <w:r w:rsidRPr="00FC1DCF">
        <w:rPr>
          <w:rFonts w:ascii="Century Gothic" w:eastAsia="Times New Roman" w:hAnsi="Century Gothic" w:cs="Arial"/>
          <w:iCs/>
          <w:color w:val="6E6E7C"/>
          <w:sz w:val="21"/>
          <w:szCs w:val="21"/>
          <w:lang w:eastAsia="es-EC"/>
        </w:rPr>
        <w:t xml:space="preserve"> Construir infraestructuras </w:t>
      </w:r>
      <w:proofErr w:type="spellStart"/>
      <w:r w:rsidRPr="00FC1DCF">
        <w:rPr>
          <w:rFonts w:ascii="Century Gothic" w:eastAsia="Times New Roman" w:hAnsi="Century Gothic" w:cs="Arial"/>
          <w:iCs/>
          <w:color w:val="6E6E7C"/>
          <w:sz w:val="21"/>
          <w:szCs w:val="21"/>
          <w:lang w:eastAsia="es-EC"/>
        </w:rPr>
        <w:t>resilientes</w:t>
      </w:r>
      <w:proofErr w:type="spellEnd"/>
      <w:r w:rsidRPr="00FC1DCF">
        <w:rPr>
          <w:rFonts w:ascii="Century Gothic" w:eastAsia="Times New Roman" w:hAnsi="Century Gothic" w:cs="Arial"/>
          <w:iCs/>
          <w:color w:val="6E6E7C"/>
          <w:sz w:val="21"/>
          <w:szCs w:val="21"/>
          <w:lang w:eastAsia="es-EC"/>
        </w:rPr>
        <w:t>, promover la industrialización inclusiva y sostenible y fomentar la innovación.</w:t>
      </w:r>
    </w:p>
    <w:p w14:paraId="3D31AB10" w14:textId="77777777" w:rsidR="00FC1DCF" w:rsidRDefault="00FC1DCF" w:rsidP="00691263">
      <w:pPr>
        <w:jc w:val="both"/>
        <w:rPr>
          <w:rFonts w:ascii="Century Gothic" w:eastAsia="Times New Roman" w:hAnsi="Century Gothic" w:cs="Arial"/>
          <w:iCs/>
          <w:color w:val="6E6E7C"/>
          <w:sz w:val="21"/>
          <w:szCs w:val="21"/>
          <w:lang w:eastAsia="es-EC"/>
        </w:rPr>
      </w:pPr>
      <w:r>
        <w:rPr>
          <w:rFonts w:ascii="Century Gothic" w:eastAsia="Times New Roman" w:hAnsi="Century Gothic" w:cs="Arial"/>
          <w:b/>
          <w:iCs/>
          <w:color w:val="6E6E7C"/>
          <w:sz w:val="21"/>
          <w:szCs w:val="21"/>
          <w:lang w:eastAsia="es-EC"/>
        </w:rPr>
        <w:t>Meta</w:t>
      </w:r>
      <w:r w:rsidRPr="00FC1DCF">
        <w:rPr>
          <w:rFonts w:ascii="Century Gothic" w:eastAsia="Times New Roman" w:hAnsi="Century Gothic" w:cs="Arial"/>
          <w:b/>
          <w:iCs/>
          <w:color w:val="6E6E7C"/>
          <w:sz w:val="21"/>
          <w:szCs w:val="21"/>
          <w:lang w:eastAsia="es-EC"/>
        </w:rPr>
        <w:t xml:space="preserve"> </w:t>
      </w:r>
      <w:r>
        <w:rPr>
          <w:rFonts w:ascii="Century Gothic" w:eastAsia="Times New Roman" w:hAnsi="Century Gothic" w:cs="Arial"/>
          <w:b/>
          <w:iCs/>
          <w:color w:val="6E6E7C"/>
          <w:sz w:val="21"/>
          <w:szCs w:val="21"/>
          <w:lang w:eastAsia="es-EC"/>
        </w:rPr>
        <w:t>9.2</w:t>
      </w:r>
      <w:r w:rsidRPr="00FC1DCF">
        <w:rPr>
          <w:rFonts w:ascii="Century Gothic" w:eastAsia="Times New Roman" w:hAnsi="Century Gothic" w:cs="Arial"/>
          <w:b/>
          <w:iCs/>
          <w:color w:val="6E6E7C"/>
          <w:sz w:val="21"/>
          <w:szCs w:val="21"/>
          <w:lang w:eastAsia="es-EC"/>
        </w:rPr>
        <w:t>:</w:t>
      </w:r>
      <w:r>
        <w:rPr>
          <w:rFonts w:ascii="Century Gothic" w:eastAsia="Times New Roman" w:hAnsi="Century Gothic" w:cs="Arial"/>
          <w:iCs/>
          <w:color w:val="6E6E7C"/>
          <w:sz w:val="21"/>
          <w:szCs w:val="21"/>
          <w:lang w:eastAsia="es-EC"/>
        </w:rPr>
        <w:t xml:space="preserve"> </w:t>
      </w:r>
      <w:r w:rsidRPr="00FC1DCF">
        <w:rPr>
          <w:rFonts w:ascii="Century Gothic" w:eastAsia="Times New Roman" w:hAnsi="Century Gothic" w:cs="Arial"/>
          <w:iCs/>
          <w:color w:val="6E6E7C"/>
          <w:sz w:val="21"/>
          <w:szCs w:val="21"/>
          <w:lang w:eastAsia="es-EC"/>
        </w:rPr>
        <w:t>Promover una industrialización inclusiva y sostenible y, de aquí a 2030, aumentar significativamente la contribución de la industria al empleo y al producto interno bruto, de acuerdo con las circunstancias nacionales, y duplicar esa contribución en los países menos adelantados.</w:t>
      </w:r>
    </w:p>
    <w:p w14:paraId="357C4F11" w14:textId="77777777" w:rsidR="00FC1DCF" w:rsidRDefault="00FC1DCF" w:rsidP="00691263">
      <w:pPr>
        <w:jc w:val="both"/>
        <w:rPr>
          <w:rFonts w:ascii="Century Gothic" w:eastAsia="Times New Roman" w:hAnsi="Century Gothic" w:cs="Arial"/>
          <w:b/>
          <w:iCs/>
          <w:color w:val="6E6E7C"/>
          <w:sz w:val="21"/>
          <w:szCs w:val="21"/>
          <w:lang w:eastAsia="es-EC"/>
        </w:rPr>
      </w:pPr>
      <w:r w:rsidRPr="00FC1DCF">
        <w:rPr>
          <w:rFonts w:ascii="Century Gothic" w:eastAsia="Times New Roman" w:hAnsi="Century Gothic" w:cs="Arial"/>
          <w:b/>
          <w:iCs/>
          <w:color w:val="6E6E7C"/>
          <w:sz w:val="21"/>
          <w:szCs w:val="21"/>
          <w:lang w:eastAsia="es-EC"/>
        </w:rPr>
        <w:t>Indicador</w:t>
      </w:r>
      <w:r>
        <w:rPr>
          <w:rFonts w:ascii="Century Gothic" w:eastAsia="Times New Roman" w:hAnsi="Century Gothic" w:cs="Arial"/>
          <w:b/>
          <w:iCs/>
          <w:color w:val="6E6E7C"/>
          <w:sz w:val="21"/>
          <w:szCs w:val="21"/>
          <w:lang w:eastAsia="es-EC"/>
        </w:rPr>
        <w:t xml:space="preserve"> 9.2.1:</w:t>
      </w:r>
      <w:r w:rsidRPr="00FC1DCF">
        <w:rPr>
          <w:rFonts w:ascii="Century Gothic" w:eastAsia="Times New Roman" w:hAnsi="Century Gothic" w:cs="Arial"/>
          <w:iCs/>
          <w:color w:val="6E6E7C"/>
          <w:sz w:val="21"/>
          <w:szCs w:val="21"/>
          <w:lang w:eastAsia="es-EC"/>
        </w:rPr>
        <w:t xml:space="preserve"> Valor agregado por manufactura como proporción del PIB y per cápita.</w:t>
      </w:r>
    </w:p>
    <w:p w14:paraId="7CF2193C" w14:textId="77777777" w:rsidR="00FC1DCF" w:rsidRPr="00FC1DCF" w:rsidRDefault="00FC1DCF" w:rsidP="00FC1DCF">
      <w:pPr>
        <w:jc w:val="both"/>
        <w:rPr>
          <w:rFonts w:ascii="Century Gothic" w:eastAsia="Times New Roman" w:hAnsi="Century Gothic" w:cs="Arial"/>
          <w:b/>
          <w:iCs/>
          <w:color w:val="6E6E7C"/>
          <w:sz w:val="21"/>
          <w:szCs w:val="21"/>
          <w:lang w:eastAsia="es-EC"/>
        </w:rPr>
      </w:pPr>
    </w:p>
    <w:bookmarkEnd w:id="41"/>
    <w:p w14:paraId="6EBF1FBC" w14:textId="77777777" w:rsidR="006A74FA" w:rsidRPr="00582936" w:rsidRDefault="006A74FA" w:rsidP="006A74FA">
      <w:pPr>
        <w:spacing w:after="200" w:line="276" w:lineRule="auto"/>
        <w:jc w:val="both"/>
        <w:rPr>
          <w:rFonts w:ascii="Century Gothic" w:eastAsia="Times New Roman" w:hAnsi="Century Gothic" w:cs="Arial"/>
          <w:b/>
          <w:iCs/>
          <w:color w:val="6E6E7C"/>
          <w:szCs w:val="16"/>
          <w:lang w:eastAsia="es-EC"/>
        </w:rPr>
      </w:pPr>
      <w:r w:rsidRPr="00582936">
        <w:rPr>
          <w:rFonts w:ascii="Century Gothic" w:eastAsia="Times New Roman" w:hAnsi="Century Gothic" w:cs="Arial"/>
          <w:b/>
          <w:iCs/>
          <w:color w:val="6E6E7C"/>
          <w:szCs w:val="16"/>
          <w:lang w:eastAsia="es-EC"/>
        </w:rPr>
        <w:t>Usuarios de información</w:t>
      </w:r>
    </w:p>
    <w:p w14:paraId="353162C3" w14:textId="77777777" w:rsidR="006A74FA" w:rsidRPr="00582936" w:rsidRDefault="006A74FA" w:rsidP="006A74FA">
      <w:pPr>
        <w:spacing w:after="200" w:line="276" w:lineRule="auto"/>
        <w:jc w:val="both"/>
        <w:rPr>
          <w:rFonts w:ascii="Century Gothic" w:eastAsia="Times New Roman" w:hAnsi="Century Gothic" w:cs="Aparajita"/>
          <w:iCs/>
          <w:color w:val="6E6E7C"/>
          <w:sz w:val="21"/>
          <w:szCs w:val="21"/>
          <w:lang w:eastAsia="es-EC"/>
        </w:rPr>
      </w:pPr>
      <w:r w:rsidRPr="00582936">
        <w:rPr>
          <w:rFonts w:ascii="Century Gothic" w:eastAsia="Times New Roman" w:hAnsi="Century Gothic" w:cs="Aparajita"/>
          <w:iCs/>
          <w:color w:val="6E6E7C"/>
          <w:sz w:val="21"/>
          <w:szCs w:val="21"/>
          <w:lang w:eastAsia="es-EC"/>
        </w:rPr>
        <w:t xml:space="preserve">El Instituto Nacional de Estadística y Censos (INEC), </w:t>
      </w:r>
      <w:r w:rsidR="00BD0CD2" w:rsidRPr="00582936">
        <w:rPr>
          <w:rFonts w:ascii="Century Gothic" w:eastAsia="Times New Roman" w:hAnsi="Century Gothic" w:cs="Aparajita"/>
          <w:iCs/>
          <w:color w:val="6E6E7C"/>
          <w:sz w:val="21"/>
          <w:szCs w:val="21"/>
          <w:lang w:eastAsia="es-EC"/>
        </w:rPr>
        <w:t>de acuerdo con el</w:t>
      </w:r>
      <w:r w:rsidRPr="00582936">
        <w:rPr>
          <w:rFonts w:ascii="Century Gothic" w:eastAsia="Times New Roman" w:hAnsi="Century Gothic" w:cs="Aparajita"/>
          <w:iCs/>
          <w:color w:val="6E6E7C"/>
          <w:sz w:val="21"/>
          <w:szCs w:val="21"/>
          <w:lang w:eastAsia="es-EC"/>
        </w:rPr>
        <w:t xml:space="preserve"> artículo 13 de la Ley de Estadística, tiene la facultad de crear Comisiones Especiales de Estadística con el objetivo de “Homologar las metodologías de cálculo de índices e indicadores, establecer el cierre de brechas de información estadísticas, y proponer mejoras de producción estadística a utilizarse en la planificación estadística”</w:t>
      </w:r>
      <w:sdt>
        <w:sdtPr>
          <w:rPr>
            <w:rFonts w:ascii="Century Gothic" w:eastAsia="Times New Roman" w:hAnsi="Century Gothic" w:cs="Aparajita"/>
            <w:iCs/>
            <w:color w:val="6E6E7C"/>
            <w:sz w:val="21"/>
            <w:szCs w:val="21"/>
            <w:lang w:eastAsia="es-EC"/>
          </w:rPr>
          <w:id w:val="-1942830837"/>
          <w:citation/>
        </w:sdtPr>
        <w:sdtContent>
          <w:r w:rsidRPr="00582936">
            <w:rPr>
              <w:rFonts w:ascii="Century Gothic" w:eastAsia="Times New Roman" w:hAnsi="Century Gothic" w:cs="Aparajita"/>
              <w:iCs/>
              <w:color w:val="6E6E7C"/>
              <w:sz w:val="21"/>
              <w:szCs w:val="21"/>
              <w:lang w:eastAsia="es-EC"/>
            </w:rPr>
            <w:fldChar w:fldCharType="begin"/>
          </w:r>
          <w:r w:rsidRPr="00582936">
            <w:rPr>
              <w:rFonts w:ascii="Century Gothic" w:eastAsia="Times New Roman" w:hAnsi="Century Gothic" w:cs="Aparajita"/>
              <w:iCs/>
              <w:color w:val="6E6E7C"/>
              <w:sz w:val="21"/>
              <w:szCs w:val="21"/>
              <w:lang w:eastAsia="es-EC"/>
            </w:rPr>
            <w:instrText xml:space="preserve">CITATION Ine20 \l 12298 </w:instrText>
          </w:r>
          <w:r w:rsidRPr="00582936">
            <w:rPr>
              <w:rFonts w:ascii="Century Gothic" w:eastAsia="Times New Roman" w:hAnsi="Century Gothic" w:cs="Aparajita"/>
              <w:iCs/>
              <w:color w:val="6E6E7C"/>
              <w:sz w:val="21"/>
              <w:szCs w:val="21"/>
              <w:lang w:eastAsia="es-EC"/>
            </w:rPr>
            <w:fldChar w:fldCharType="separate"/>
          </w:r>
          <w:r w:rsidR="006E6B3C">
            <w:rPr>
              <w:rFonts w:ascii="Century Gothic" w:eastAsia="Times New Roman" w:hAnsi="Century Gothic" w:cs="Aparajita"/>
              <w:iCs/>
              <w:noProof/>
              <w:color w:val="6E6E7C"/>
              <w:sz w:val="21"/>
              <w:szCs w:val="21"/>
              <w:lang w:eastAsia="es-EC"/>
            </w:rPr>
            <w:t xml:space="preserve"> </w:t>
          </w:r>
          <w:r w:rsidR="006E6B3C" w:rsidRPr="006E6B3C">
            <w:rPr>
              <w:rFonts w:ascii="Century Gothic" w:eastAsia="Times New Roman" w:hAnsi="Century Gothic" w:cs="Aparajita"/>
              <w:noProof/>
              <w:color w:val="6E6E7C"/>
              <w:sz w:val="21"/>
              <w:szCs w:val="21"/>
              <w:lang w:eastAsia="es-EC"/>
            </w:rPr>
            <w:t>(INEC, 2020)</w:t>
          </w:r>
          <w:r w:rsidRPr="00582936">
            <w:rPr>
              <w:rFonts w:ascii="Century Gothic" w:eastAsia="Times New Roman" w:hAnsi="Century Gothic" w:cs="Aparajita"/>
              <w:iCs/>
              <w:color w:val="6E6E7C"/>
              <w:sz w:val="21"/>
              <w:szCs w:val="21"/>
              <w:lang w:eastAsia="es-EC"/>
            </w:rPr>
            <w:fldChar w:fldCharType="end"/>
          </w:r>
        </w:sdtContent>
      </w:sdt>
      <w:r w:rsidRPr="00582936">
        <w:rPr>
          <w:rFonts w:ascii="Century Gothic" w:eastAsia="Times New Roman" w:hAnsi="Century Gothic" w:cs="Aparajita"/>
          <w:iCs/>
          <w:color w:val="6E6E7C"/>
          <w:sz w:val="21"/>
          <w:szCs w:val="21"/>
          <w:lang w:eastAsia="es-EC"/>
        </w:rPr>
        <w:t xml:space="preserve">. </w:t>
      </w:r>
    </w:p>
    <w:p w14:paraId="42A6A93B" w14:textId="77777777" w:rsidR="00831EA9" w:rsidRDefault="006A74FA" w:rsidP="003E08CF">
      <w:pPr>
        <w:spacing w:after="200" w:line="276" w:lineRule="auto"/>
        <w:jc w:val="both"/>
        <w:rPr>
          <w:rFonts w:ascii="Century Gothic" w:eastAsia="Times New Roman" w:hAnsi="Century Gothic" w:cs="Aparajita"/>
          <w:iCs/>
          <w:color w:val="6E6E7C"/>
          <w:sz w:val="21"/>
          <w:szCs w:val="21"/>
          <w:lang w:eastAsia="es-EC"/>
        </w:rPr>
      </w:pPr>
      <w:r w:rsidRPr="00582936">
        <w:rPr>
          <w:rFonts w:ascii="Century Gothic" w:eastAsia="Times New Roman" w:hAnsi="Century Gothic" w:cs="Aparajita"/>
          <w:iCs/>
          <w:color w:val="6E6E7C"/>
          <w:sz w:val="21"/>
          <w:szCs w:val="21"/>
          <w:lang w:eastAsia="es-EC"/>
        </w:rPr>
        <w:t>La ENESEM se enmarca en la Comisión Especial de Estadísticas de Cuentas Económicas y Productivas</w:t>
      </w:r>
      <w:r w:rsidR="00831EA9">
        <w:rPr>
          <w:rFonts w:ascii="Century Gothic" w:eastAsia="Times New Roman" w:hAnsi="Century Gothic" w:cs="Aparajita"/>
          <w:iCs/>
          <w:color w:val="6E6E7C"/>
          <w:sz w:val="21"/>
          <w:szCs w:val="21"/>
          <w:lang w:eastAsia="es-EC"/>
        </w:rPr>
        <w:t>: misma que está conformada por:</w:t>
      </w:r>
    </w:p>
    <w:p w14:paraId="0EB726D6"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Instituto Nacional de Estadística y Censos – INEC</w:t>
      </w:r>
    </w:p>
    <w:p w14:paraId="23599086"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Secretaría Nacional de Planificación – SNP</w:t>
      </w:r>
    </w:p>
    <w:p w14:paraId="3E0A21AC"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Banco Central del Ecuador – BCE</w:t>
      </w:r>
    </w:p>
    <w:p w14:paraId="25BA97C8"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Banco de Desarrollo del Ecuador – BDE</w:t>
      </w:r>
    </w:p>
    <w:p w14:paraId="025D9466"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Instituto de Economía Popular y Solidaria – IEPS</w:t>
      </w:r>
    </w:p>
    <w:p w14:paraId="5B12BE22"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Ministerio del Ambiente, Agua y Transición Ecológica – MAATE</w:t>
      </w:r>
    </w:p>
    <w:p w14:paraId="7914F737"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Ministerio de Economía y Finanzas – MEF</w:t>
      </w:r>
    </w:p>
    <w:p w14:paraId="345CFA28"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Ministerio de Producción, Comercio Exterior, Inversiones y Pesca – MPCEIP</w:t>
      </w:r>
    </w:p>
    <w:p w14:paraId="6DF5B010"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Ministerio de Telecomunicaciones y de la Sociedad de la Información – MINTEL</w:t>
      </w:r>
    </w:p>
    <w:p w14:paraId="0570465C"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Superintendencia de Bancos – SB</w:t>
      </w:r>
    </w:p>
    <w:p w14:paraId="3F47E44E"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Superintendencia de Compañías, Valores y Seguros – SUPERCIAS</w:t>
      </w:r>
    </w:p>
    <w:p w14:paraId="440E569B"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Superintendencia de Economía Popular y Solidaria – SEPS</w:t>
      </w:r>
    </w:p>
    <w:p w14:paraId="751D6314" w14:textId="77777777" w:rsidR="00831EA9" w:rsidRP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Superintendencia de Control del Poder de Mercado – SCPM</w:t>
      </w:r>
    </w:p>
    <w:p w14:paraId="036EF041" w14:textId="77777777" w:rsidR="00831EA9" w:rsidRDefault="00831EA9" w:rsidP="003E08CF">
      <w:pPr>
        <w:pStyle w:val="Prrafodelista"/>
        <w:numPr>
          <w:ilvl w:val="0"/>
          <w:numId w:val="41"/>
        </w:numPr>
        <w:rPr>
          <w:rFonts w:ascii="Century Gothic" w:eastAsia="Times New Roman" w:hAnsi="Century Gothic" w:cs="Aparajita"/>
          <w:iCs/>
          <w:color w:val="6E6E7C"/>
          <w:sz w:val="21"/>
          <w:szCs w:val="21"/>
          <w:lang w:eastAsia="es-EC"/>
        </w:rPr>
      </w:pPr>
      <w:r w:rsidRPr="00831EA9">
        <w:rPr>
          <w:rFonts w:ascii="Century Gothic" w:eastAsia="Times New Roman" w:hAnsi="Century Gothic" w:cs="Aparajita"/>
          <w:iCs/>
          <w:color w:val="6E6E7C"/>
          <w:sz w:val="21"/>
          <w:szCs w:val="21"/>
          <w:lang w:eastAsia="es-EC"/>
        </w:rPr>
        <w:t>Servicio de Rentas Internas – SRI</w:t>
      </w:r>
    </w:p>
    <w:p w14:paraId="52039600" w14:textId="77777777" w:rsidR="003E08CF" w:rsidRPr="00831EA9" w:rsidRDefault="003E08CF" w:rsidP="003E08CF">
      <w:pPr>
        <w:pStyle w:val="Prrafodelista"/>
        <w:numPr>
          <w:ilvl w:val="0"/>
          <w:numId w:val="41"/>
        </w:numPr>
        <w:rPr>
          <w:rFonts w:ascii="Century Gothic" w:eastAsia="Times New Roman" w:hAnsi="Century Gothic" w:cs="Aparajita"/>
          <w:iCs/>
          <w:color w:val="6E6E7C"/>
          <w:sz w:val="21"/>
          <w:szCs w:val="21"/>
          <w:lang w:eastAsia="es-EC"/>
        </w:rPr>
      </w:pPr>
      <w:r>
        <w:rPr>
          <w:rFonts w:ascii="Century Gothic" w:eastAsia="Times New Roman" w:hAnsi="Century Gothic" w:cs="Aparajita"/>
          <w:iCs/>
          <w:color w:val="6E6E7C"/>
          <w:sz w:val="21"/>
          <w:szCs w:val="21"/>
          <w:lang w:eastAsia="es-EC"/>
        </w:rPr>
        <w:t>Otras instituciones</w:t>
      </w:r>
    </w:p>
    <w:p w14:paraId="6E9E542A" w14:textId="77777777" w:rsidR="006A74FA" w:rsidRPr="00582936" w:rsidRDefault="00831EA9" w:rsidP="006A74FA">
      <w:pPr>
        <w:spacing w:after="200" w:line="276" w:lineRule="auto"/>
        <w:jc w:val="both"/>
        <w:rPr>
          <w:rFonts w:ascii="Century Gothic" w:eastAsia="Times New Roman" w:hAnsi="Century Gothic" w:cs="Aparajita"/>
          <w:iCs/>
          <w:color w:val="6E6E7C"/>
          <w:sz w:val="21"/>
          <w:szCs w:val="21"/>
          <w:lang w:eastAsia="es-EC"/>
        </w:rPr>
      </w:pPr>
      <w:r>
        <w:rPr>
          <w:rFonts w:ascii="Century Gothic" w:eastAsia="Times New Roman" w:hAnsi="Century Gothic" w:cs="Aparajita"/>
          <w:iCs/>
          <w:color w:val="6E6E7C"/>
          <w:sz w:val="21"/>
          <w:szCs w:val="21"/>
          <w:lang w:eastAsia="es-EC"/>
        </w:rPr>
        <w:t>Estas</w:t>
      </w:r>
      <w:r w:rsidR="006A74FA" w:rsidRPr="00582936">
        <w:rPr>
          <w:rFonts w:ascii="Century Gothic" w:eastAsia="Times New Roman" w:hAnsi="Century Gothic" w:cs="Aparajita"/>
          <w:iCs/>
          <w:color w:val="6E6E7C"/>
          <w:sz w:val="21"/>
          <w:szCs w:val="21"/>
          <w:lang w:eastAsia="es-EC"/>
        </w:rPr>
        <w:t xml:space="preserve"> tienen por objetivo impulsar la producción y fortalecimiento de estas estadísticas</w:t>
      </w:r>
      <w:r w:rsidR="006A74FA">
        <w:rPr>
          <w:rFonts w:ascii="Century Gothic" w:eastAsia="Times New Roman" w:hAnsi="Century Gothic" w:cs="Aparajita"/>
          <w:iCs/>
          <w:color w:val="6E6E7C"/>
          <w:sz w:val="21"/>
          <w:szCs w:val="21"/>
          <w:lang w:eastAsia="es-EC"/>
        </w:rPr>
        <w:t>,</w:t>
      </w:r>
      <w:r w:rsidR="006A74FA" w:rsidRPr="00582936">
        <w:rPr>
          <w:rFonts w:ascii="Century Gothic" w:eastAsia="Times New Roman" w:hAnsi="Century Gothic" w:cs="Aparajita"/>
          <w:iCs/>
          <w:color w:val="6E6E7C"/>
          <w:sz w:val="21"/>
          <w:szCs w:val="21"/>
          <w:lang w:eastAsia="es-EC"/>
        </w:rPr>
        <w:t xml:space="preserve"> a través de la ejecución de reuniones de trabajo que permitan identificar y satisfacer las necesidades de información de instituciones públicas, </w:t>
      </w:r>
      <w:r w:rsidR="006A74FA" w:rsidRPr="00582936">
        <w:rPr>
          <w:rFonts w:ascii="Century Gothic" w:eastAsia="Times New Roman" w:hAnsi="Century Gothic" w:cs="Aparajita"/>
          <w:iCs/>
          <w:color w:val="6E6E7C"/>
          <w:sz w:val="21"/>
          <w:szCs w:val="21"/>
          <w:lang w:eastAsia="es-EC"/>
        </w:rPr>
        <w:lastRenderedPageBreak/>
        <w:t>privadas, miembros de la academia y otros; para de esta manera fortalecer la operación estadística.</w:t>
      </w:r>
    </w:p>
    <w:p w14:paraId="4B0FCB1D" w14:textId="77777777" w:rsidR="006A74FA" w:rsidRPr="00582936" w:rsidRDefault="006A74FA" w:rsidP="006A74FA">
      <w:pPr>
        <w:tabs>
          <w:tab w:val="left" w:pos="284"/>
        </w:tabs>
        <w:spacing w:before="240" w:after="200" w:line="276" w:lineRule="auto"/>
        <w:jc w:val="both"/>
        <w:rPr>
          <w:rFonts w:ascii="Century Gothic" w:eastAsia="Times New Roman" w:hAnsi="Century Gothic" w:cs="Aparajita"/>
          <w:iCs/>
          <w:color w:val="6E6E7C"/>
          <w:sz w:val="21"/>
          <w:szCs w:val="21"/>
          <w:lang w:eastAsia="es-EC"/>
        </w:rPr>
      </w:pPr>
      <w:r>
        <w:rPr>
          <w:rFonts w:ascii="Century Gothic" w:eastAsia="Times New Roman" w:hAnsi="Century Gothic" w:cs="Aparajita"/>
          <w:iCs/>
          <w:color w:val="6E6E7C"/>
          <w:sz w:val="21"/>
          <w:szCs w:val="21"/>
          <w:lang w:eastAsia="es-EC"/>
        </w:rPr>
        <w:t>A</w:t>
      </w:r>
      <w:r w:rsidRPr="00582936">
        <w:rPr>
          <w:rFonts w:ascii="Century Gothic" w:eastAsia="Times New Roman" w:hAnsi="Century Gothic" w:cs="Aparajita"/>
          <w:iCs/>
          <w:color w:val="6E6E7C"/>
          <w:sz w:val="21"/>
          <w:szCs w:val="21"/>
          <w:lang w:eastAsia="es-EC"/>
        </w:rPr>
        <w:t xml:space="preserve"> través del análisis de requerimientos de información de diversos usuarios nacionales e internacionales</w:t>
      </w:r>
      <w:r>
        <w:rPr>
          <w:rFonts w:ascii="Century Gothic" w:eastAsia="Times New Roman" w:hAnsi="Century Gothic" w:cs="Aparajita"/>
          <w:iCs/>
          <w:color w:val="6E6E7C"/>
          <w:sz w:val="21"/>
          <w:szCs w:val="21"/>
          <w:lang w:eastAsia="es-EC"/>
        </w:rPr>
        <w:t xml:space="preserve"> </w:t>
      </w:r>
      <w:r w:rsidRPr="00582936">
        <w:rPr>
          <w:rFonts w:ascii="Century Gothic" w:eastAsia="Times New Roman" w:hAnsi="Century Gothic" w:cs="Aparajita"/>
          <w:iCs/>
          <w:color w:val="6E6E7C"/>
          <w:sz w:val="21"/>
          <w:szCs w:val="21"/>
          <w:lang w:eastAsia="es-EC"/>
        </w:rPr>
        <w:t>se han identificado los usuarios, utilidad y las necesidades de información producida por la ENESEM. A continuación, se detallan:</w:t>
      </w:r>
    </w:p>
    <w:p w14:paraId="37EFFB1E" w14:textId="77777777" w:rsidR="006A74FA" w:rsidRPr="00BD2C91" w:rsidRDefault="00BD2C91" w:rsidP="00BD2C91">
      <w:pPr>
        <w:pStyle w:val="Descripcin"/>
        <w:jc w:val="center"/>
        <w:rPr>
          <w:rFonts w:ascii="Century Gothic" w:hAnsi="Century Gothic"/>
          <w:b w:val="0"/>
          <w:bCs w:val="0"/>
          <w:color w:val="595959" w:themeColor="text1" w:themeTint="A6"/>
        </w:rPr>
      </w:pPr>
      <w:bookmarkStart w:id="42" w:name="_Toc161322596"/>
      <w:r w:rsidRPr="00BD2C91">
        <w:rPr>
          <w:rFonts w:ascii="Century Gothic" w:hAnsi="Century Gothic"/>
          <w:bCs w:val="0"/>
          <w:color w:val="595959" w:themeColor="text1" w:themeTint="A6"/>
        </w:rPr>
        <w:t xml:space="preserve">Tabla </w:t>
      </w:r>
      <w:r w:rsidRPr="00BD2C91">
        <w:rPr>
          <w:rFonts w:ascii="Century Gothic" w:hAnsi="Century Gothic"/>
          <w:bCs w:val="0"/>
          <w:color w:val="595959" w:themeColor="text1" w:themeTint="A6"/>
        </w:rPr>
        <w:fldChar w:fldCharType="begin"/>
      </w:r>
      <w:r w:rsidRPr="00BD2C91">
        <w:rPr>
          <w:rFonts w:ascii="Century Gothic" w:hAnsi="Century Gothic"/>
          <w:bCs w:val="0"/>
          <w:color w:val="595959" w:themeColor="text1" w:themeTint="A6"/>
        </w:rPr>
        <w:instrText xml:space="preserve"> SEQ Tabla \* ARABIC </w:instrText>
      </w:r>
      <w:r w:rsidRPr="00BD2C91">
        <w:rPr>
          <w:rFonts w:ascii="Century Gothic" w:hAnsi="Century Gothic"/>
          <w:bCs w:val="0"/>
          <w:color w:val="595959" w:themeColor="text1" w:themeTint="A6"/>
        </w:rPr>
        <w:fldChar w:fldCharType="separate"/>
      </w:r>
      <w:r w:rsidR="00CF3585">
        <w:rPr>
          <w:rFonts w:ascii="Century Gothic" w:hAnsi="Century Gothic"/>
          <w:bCs w:val="0"/>
          <w:noProof/>
          <w:color w:val="595959" w:themeColor="text1" w:themeTint="A6"/>
        </w:rPr>
        <w:t>2</w:t>
      </w:r>
      <w:r w:rsidRPr="00BD2C91">
        <w:rPr>
          <w:rFonts w:ascii="Century Gothic" w:hAnsi="Century Gothic"/>
          <w:bCs w:val="0"/>
          <w:color w:val="595959" w:themeColor="text1" w:themeTint="A6"/>
        </w:rPr>
        <w:fldChar w:fldCharType="end"/>
      </w:r>
      <w:r w:rsidRPr="00BD2C91">
        <w:rPr>
          <w:rFonts w:ascii="Century Gothic" w:hAnsi="Century Gothic"/>
          <w:bCs w:val="0"/>
          <w:color w:val="595959" w:themeColor="text1" w:themeTint="A6"/>
        </w:rPr>
        <w:t>.</w:t>
      </w:r>
      <w:r w:rsidRPr="00BD2C91">
        <w:rPr>
          <w:rFonts w:ascii="Century Gothic" w:hAnsi="Century Gothic"/>
          <w:b w:val="0"/>
          <w:bCs w:val="0"/>
          <w:color w:val="595959" w:themeColor="text1" w:themeTint="A6"/>
        </w:rPr>
        <w:t xml:space="preserve"> Usuarios nacionales y necesidades de la información de la ENESEM.</w:t>
      </w:r>
      <w:bookmarkEnd w:id="42"/>
    </w:p>
    <w:tbl>
      <w:tblPr>
        <w:tblW w:w="8729" w:type="dxa"/>
        <w:tblInd w:w="55" w:type="dxa"/>
        <w:tblBorders>
          <w:top w:val="single" w:sz="4" w:space="0" w:color="767171"/>
          <w:left w:val="single" w:sz="4" w:space="0" w:color="767171"/>
          <w:bottom w:val="single" w:sz="4" w:space="0" w:color="767171"/>
          <w:right w:val="single" w:sz="4" w:space="0" w:color="767171"/>
          <w:insideH w:val="single" w:sz="4" w:space="0" w:color="767171"/>
          <w:insideV w:val="single" w:sz="4" w:space="0" w:color="767171"/>
        </w:tblBorders>
        <w:tblCellMar>
          <w:left w:w="70" w:type="dxa"/>
          <w:right w:w="70" w:type="dxa"/>
        </w:tblCellMar>
        <w:tblLook w:val="04A0" w:firstRow="1" w:lastRow="0" w:firstColumn="1" w:lastColumn="0" w:noHBand="0" w:noVBand="1"/>
      </w:tblPr>
      <w:tblGrid>
        <w:gridCol w:w="2411"/>
        <w:gridCol w:w="6318"/>
      </w:tblGrid>
      <w:tr w:rsidR="006A74FA" w:rsidRPr="00582936" w14:paraId="0150ACD7" w14:textId="77777777" w:rsidTr="00460317">
        <w:trPr>
          <w:trHeight w:val="353"/>
        </w:trPr>
        <w:tc>
          <w:tcPr>
            <w:tcW w:w="2411" w:type="dxa"/>
            <w:shd w:val="clear" w:color="auto" w:fill="4266CE"/>
            <w:vAlign w:val="center"/>
            <w:hideMark/>
          </w:tcPr>
          <w:p w14:paraId="0C8170BD" w14:textId="77777777" w:rsidR="006A74FA" w:rsidRPr="00460317" w:rsidRDefault="006A74FA" w:rsidP="00924439">
            <w:pPr>
              <w:spacing w:line="276" w:lineRule="auto"/>
              <w:jc w:val="center"/>
              <w:rPr>
                <w:rFonts w:ascii="Century Gothic" w:eastAsia="Times New Roman" w:hAnsi="Century Gothic" w:cs="Times New Roman"/>
                <w:b/>
                <w:bCs/>
                <w:iCs/>
                <w:color w:val="FFFFFF" w:themeColor="background1"/>
                <w:sz w:val="16"/>
                <w:szCs w:val="16"/>
                <w:lang w:eastAsia="es-EC"/>
              </w:rPr>
            </w:pPr>
            <w:r w:rsidRPr="00460317">
              <w:rPr>
                <w:rFonts w:ascii="Century Gothic" w:eastAsia="Times New Roman" w:hAnsi="Century Gothic" w:cs="Times New Roman"/>
                <w:b/>
                <w:bCs/>
                <w:iCs/>
                <w:color w:val="FFFFFF" w:themeColor="background1"/>
                <w:sz w:val="16"/>
                <w:szCs w:val="16"/>
                <w:lang w:eastAsia="es-EC"/>
              </w:rPr>
              <w:t>Usuario nacional</w:t>
            </w:r>
          </w:p>
        </w:tc>
        <w:tc>
          <w:tcPr>
            <w:tcW w:w="6318" w:type="dxa"/>
            <w:shd w:val="clear" w:color="auto" w:fill="4266CE"/>
            <w:vAlign w:val="center"/>
            <w:hideMark/>
          </w:tcPr>
          <w:p w14:paraId="5CCEB709" w14:textId="77777777" w:rsidR="006A74FA" w:rsidRPr="00460317" w:rsidRDefault="006A74FA" w:rsidP="00924439">
            <w:pPr>
              <w:spacing w:line="276" w:lineRule="auto"/>
              <w:jc w:val="center"/>
              <w:rPr>
                <w:rFonts w:ascii="Century Gothic" w:eastAsia="Times New Roman" w:hAnsi="Century Gothic" w:cs="Times New Roman"/>
                <w:b/>
                <w:bCs/>
                <w:iCs/>
                <w:color w:val="FFFFFF" w:themeColor="background1"/>
                <w:sz w:val="16"/>
                <w:szCs w:val="16"/>
                <w:lang w:eastAsia="es-EC"/>
              </w:rPr>
            </w:pPr>
            <w:r w:rsidRPr="00460317">
              <w:rPr>
                <w:rFonts w:ascii="Century Gothic" w:eastAsia="Times New Roman" w:hAnsi="Century Gothic" w:cs="Times New Roman"/>
                <w:b/>
                <w:bCs/>
                <w:iCs/>
                <w:color w:val="FFFFFF" w:themeColor="background1"/>
                <w:sz w:val="16"/>
                <w:szCs w:val="16"/>
                <w:lang w:eastAsia="es-EC"/>
              </w:rPr>
              <w:t>Necesidades y usos de la información</w:t>
            </w:r>
          </w:p>
        </w:tc>
      </w:tr>
      <w:tr w:rsidR="006A74FA" w:rsidRPr="00582936" w14:paraId="7DC93A33" w14:textId="77777777" w:rsidTr="00924439">
        <w:trPr>
          <w:trHeight w:val="278"/>
        </w:trPr>
        <w:tc>
          <w:tcPr>
            <w:tcW w:w="2411" w:type="dxa"/>
            <w:shd w:val="clear" w:color="000000" w:fill="FFFFFF"/>
            <w:noWrap/>
            <w:vAlign w:val="center"/>
          </w:tcPr>
          <w:p w14:paraId="0F035C0C" w14:textId="77777777" w:rsidR="006A74FA" w:rsidRPr="00582936" w:rsidRDefault="006A74FA" w:rsidP="00924439">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Banco Central del Ecuador</w:t>
            </w:r>
          </w:p>
        </w:tc>
        <w:tc>
          <w:tcPr>
            <w:tcW w:w="6318" w:type="dxa"/>
            <w:shd w:val="clear" w:color="000000" w:fill="FFFFFF"/>
            <w:vAlign w:val="center"/>
          </w:tcPr>
          <w:p w14:paraId="0EEEE4B9"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El Banco Central del Ecuador utiliza la información de la ENESEM como insumo fundamental para elaborar la estadística de síntesis, para la generación de las cuentas nacionales.</w:t>
            </w:r>
          </w:p>
        </w:tc>
      </w:tr>
      <w:tr w:rsidR="006A74FA" w:rsidRPr="00582936" w14:paraId="74C107A8" w14:textId="77777777" w:rsidTr="00924439">
        <w:trPr>
          <w:trHeight w:val="278"/>
        </w:trPr>
        <w:tc>
          <w:tcPr>
            <w:tcW w:w="2411" w:type="dxa"/>
            <w:shd w:val="clear" w:color="000000" w:fill="FFFFFF"/>
            <w:noWrap/>
            <w:vAlign w:val="center"/>
          </w:tcPr>
          <w:p w14:paraId="19D2F619" w14:textId="77777777" w:rsidR="006A74FA" w:rsidRPr="00582936" w:rsidRDefault="006A74FA" w:rsidP="00924439">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Ministerio de Turismo</w:t>
            </w:r>
          </w:p>
        </w:tc>
        <w:tc>
          <w:tcPr>
            <w:tcW w:w="6318" w:type="dxa"/>
            <w:shd w:val="clear" w:color="000000" w:fill="FFFFFF"/>
            <w:vAlign w:val="center"/>
          </w:tcPr>
          <w:p w14:paraId="4D37E7B6"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La información clasificada por actividades económicas permite a este Ministerio, caracterizar la oferta de las grandes y medianas empresas de este sector en el Ecuador.</w:t>
            </w:r>
          </w:p>
        </w:tc>
      </w:tr>
      <w:tr w:rsidR="006A74FA" w:rsidRPr="00582936" w14:paraId="6158D134" w14:textId="77777777" w:rsidTr="00924439">
        <w:trPr>
          <w:trHeight w:val="278"/>
        </w:trPr>
        <w:tc>
          <w:tcPr>
            <w:tcW w:w="2411" w:type="dxa"/>
            <w:shd w:val="clear" w:color="000000" w:fill="FFFFFF"/>
            <w:noWrap/>
            <w:vAlign w:val="center"/>
          </w:tcPr>
          <w:p w14:paraId="2C4FB05E" w14:textId="77777777" w:rsidR="006A74FA" w:rsidRPr="00582936" w:rsidRDefault="006A74FA" w:rsidP="00924439">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Ministerio de Ambiente</w:t>
            </w:r>
            <w:r w:rsidR="00276B7D">
              <w:rPr>
                <w:rFonts w:ascii="Century Gothic" w:eastAsia="Times New Roman" w:hAnsi="Century Gothic" w:cs="Times New Roman"/>
                <w:iCs/>
                <w:color w:val="6E6E7C"/>
                <w:sz w:val="16"/>
                <w:szCs w:val="16"/>
                <w:lang w:eastAsia="es-EC"/>
              </w:rPr>
              <w:t xml:space="preserve">, </w:t>
            </w:r>
            <w:r w:rsidR="00276B7D" w:rsidRPr="00276B7D">
              <w:rPr>
                <w:rFonts w:ascii="Century Gothic" w:eastAsia="Times New Roman" w:hAnsi="Century Gothic" w:cs="Times New Roman"/>
                <w:iCs/>
                <w:color w:val="6E6E7C"/>
                <w:sz w:val="16"/>
                <w:szCs w:val="16"/>
                <w:lang w:eastAsia="es-EC"/>
              </w:rPr>
              <w:t>Agua y Transición Ecológica</w:t>
            </w:r>
          </w:p>
        </w:tc>
        <w:tc>
          <w:tcPr>
            <w:tcW w:w="6318" w:type="dxa"/>
            <w:shd w:val="clear" w:color="000000" w:fill="FFFFFF"/>
            <w:vAlign w:val="center"/>
          </w:tcPr>
          <w:p w14:paraId="082DD534"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La investigación del módulo de información ambiental es un insumo para diseñar, implementar y evaluar políticas para la conservación del medio ambiente y el respeto de los derechos de la naturaleza.</w:t>
            </w:r>
          </w:p>
        </w:tc>
      </w:tr>
      <w:tr w:rsidR="006A74FA" w:rsidRPr="00582936" w14:paraId="3E8DD21D" w14:textId="77777777" w:rsidTr="00924439">
        <w:trPr>
          <w:trHeight w:val="278"/>
        </w:trPr>
        <w:tc>
          <w:tcPr>
            <w:tcW w:w="2411" w:type="dxa"/>
            <w:shd w:val="clear" w:color="000000" w:fill="FFFFFF"/>
            <w:noWrap/>
            <w:vAlign w:val="center"/>
          </w:tcPr>
          <w:p w14:paraId="275EA344" w14:textId="77777777" w:rsidR="006A74FA" w:rsidRPr="00582936" w:rsidRDefault="006A74FA" w:rsidP="00276B7D">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Ministerio de Producción, Comercio Exterior, Inversi</w:t>
            </w:r>
            <w:r w:rsidR="00276B7D">
              <w:rPr>
                <w:rFonts w:ascii="Century Gothic" w:eastAsia="Times New Roman" w:hAnsi="Century Gothic" w:cs="Times New Roman"/>
                <w:iCs/>
                <w:color w:val="6E6E7C"/>
                <w:sz w:val="16"/>
                <w:szCs w:val="16"/>
                <w:lang w:eastAsia="es-EC"/>
              </w:rPr>
              <w:t>ones</w:t>
            </w:r>
            <w:r w:rsidRPr="00582936">
              <w:rPr>
                <w:rFonts w:ascii="Century Gothic" w:eastAsia="Times New Roman" w:hAnsi="Century Gothic" w:cs="Times New Roman"/>
                <w:iCs/>
                <w:color w:val="6E6E7C"/>
                <w:sz w:val="16"/>
                <w:szCs w:val="16"/>
                <w:lang w:eastAsia="es-EC"/>
              </w:rPr>
              <w:t xml:space="preserve"> y Pesca</w:t>
            </w:r>
          </w:p>
        </w:tc>
        <w:tc>
          <w:tcPr>
            <w:tcW w:w="6318" w:type="dxa"/>
            <w:shd w:val="clear" w:color="000000" w:fill="FFFFFF"/>
            <w:vAlign w:val="center"/>
          </w:tcPr>
          <w:p w14:paraId="74AA2657"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Esta institución se nutre de información recolectada por la ENESEM, para la estimación de productividad del trabajo, lo cual permite generar políticas públicas de desarrollo e incentivo para las empresas del país.</w:t>
            </w:r>
          </w:p>
        </w:tc>
      </w:tr>
      <w:tr w:rsidR="006A74FA" w:rsidRPr="00582936" w14:paraId="66C7C51F" w14:textId="77777777" w:rsidTr="00924439">
        <w:trPr>
          <w:trHeight w:val="278"/>
        </w:trPr>
        <w:tc>
          <w:tcPr>
            <w:tcW w:w="2411" w:type="dxa"/>
            <w:shd w:val="clear" w:color="000000" w:fill="FFFFFF"/>
            <w:noWrap/>
            <w:vAlign w:val="center"/>
          </w:tcPr>
          <w:p w14:paraId="61C27BC6" w14:textId="77777777" w:rsidR="006A74FA" w:rsidRPr="00582936" w:rsidRDefault="006A74FA" w:rsidP="00924439">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Ministerio de Telecomunicaciones y de la Sociedad de la Información</w:t>
            </w:r>
          </w:p>
        </w:tc>
        <w:tc>
          <w:tcPr>
            <w:tcW w:w="6318" w:type="dxa"/>
            <w:shd w:val="clear" w:color="000000" w:fill="FFFFFF"/>
            <w:vAlign w:val="center"/>
          </w:tcPr>
          <w:p w14:paraId="7D134194"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Este Ministerio utiliza la información recolectada en el módulo de uso de TIC en las empresas respecto a datos sobre inversión en TIC, conexión y uso de internet, comercio electrónico, herramientas TIC, otros.</w:t>
            </w:r>
          </w:p>
        </w:tc>
      </w:tr>
      <w:tr w:rsidR="006A74FA" w:rsidRPr="00582936" w14:paraId="4613EC85" w14:textId="77777777" w:rsidTr="00924439">
        <w:trPr>
          <w:trHeight w:val="278"/>
        </w:trPr>
        <w:tc>
          <w:tcPr>
            <w:tcW w:w="2411" w:type="dxa"/>
            <w:shd w:val="clear" w:color="000000" w:fill="FFFFFF"/>
            <w:noWrap/>
            <w:vAlign w:val="center"/>
          </w:tcPr>
          <w:p w14:paraId="18E227EE" w14:textId="77777777" w:rsidR="006A74FA" w:rsidRPr="00582936" w:rsidRDefault="006A74FA" w:rsidP="00276B7D">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Superintendencia de Econ</w:t>
            </w:r>
            <w:r w:rsidR="00276B7D">
              <w:rPr>
                <w:rFonts w:ascii="Century Gothic" w:eastAsia="Times New Roman" w:hAnsi="Century Gothic" w:cs="Times New Roman"/>
                <w:iCs/>
                <w:color w:val="6E6E7C"/>
                <w:sz w:val="16"/>
                <w:szCs w:val="16"/>
                <w:lang w:eastAsia="es-EC"/>
              </w:rPr>
              <w:t xml:space="preserve">omía </w:t>
            </w:r>
            <w:r w:rsidRPr="00582936">
              <w:rPr>
                <w:rFonts w:ascii="Century Gothic" w:eastAsia="Times New Roman" w:hAnsi="Century Gothic" w:cs="Times New Roman"/>
                <w:iCs/>
                <w:color w:val="6E6E7C"/>
                <w:sz w:val="16"/>
                <w:szCs w:val="16"/>
                <w:lang w:eastAsia="es-EC"/>
              </w:rPr>
              <w:t xml:space="preserve"> Popular y Solidaria </w:t>
            </w:r>
          </w:p>
        </w:tc>
        <w:tc>
          <w:tcPr>
            <w:tcW w:w="6318" w:type="dxa"/>
            <w:shd w:val="clear" w:color="000000" w:fill="FFFFFF"/>
            <w:vAlign w:val="center"/>
          </w:tcPr>
          <w:p w14:paraId="37229DFE"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Esta institución aplica mejores prácticas de supervisión y control para la generación de estabilidad, confianza, integración y sostenibilidad de la economía popular y solidaria. La información disponible de la ENESEM es un insumo para generar políticas públicas a favor de este sector.</w:t>
            </w:r>
            <w:r w:rsidRPr="00582936">
              <w:rPr>
                <w:rFonts w:ascii="Century Gothic" w:eastAsia="Calibri" w:hAnsi="Century Gothic" w:cs="Times New Roman"/>
                <w:iCs/>
                <w:color w:val="6E6E7C"/>
                <w:sz w:val="16"/>
                <w:szCs w:val="16"/>
              </w:rPr>
              <w:t xml:space="preserve"> </w:t>
            </w:r>
          </w:p>
        </w:tc>
      </w:tr>
      <w:tr w:rsidR="006A74FA" w:rsidRPr="00582936" w14:paraId="652B1152" w14:textId="77777777" w:rsidTr="00924439">
        <w:trPr>
          <w:trHeight w:val="278"/>
        </w:trPr>
        <w:tc>
          <w:tcPr>
            <w:tcW w:w="2411" w:type="dxa"/>
            <w:shd w:val="clear" w:color="000000" w:fill="FFFFFF"/>
            <w:noWrap/>
            <w:vAlign w:val="center"/>
          </w:tcPr>
          <w:p w14:paraId="05657C97" w14:textId="77777777" w:rsidR="006A74FA" w:rsidRPr="00582936" w:rsidRDefault="006A74FA" w:rsidP="00924439">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 xml:space="preserve">Secretaría Nacional de Planificación </w:t>
            </w:r>
          </w:p>
        </w:tc>
        <w:tc>
          <w:tcPr>
            <w:tcW w:w="6318" w:type="dxa"/>
            <w:shd w:val="clear" w:color="000000" w:fill="FFFFFF"/>
            <w:vAlign w:val="center"/>
          </w:tcPr>
          <w:p w14:paraId="21697144"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 xml:space="preserve">Esta institución orienta el desarrollo sostenible del país con perspectiva de mediano y largo plazo, a través del levantamiento de información de índole social, económica y ambiental. </w:t>
            </w:r>
          </w:p>
        </w:tc>
      </w:tr>
      <w:tr w:rsidR="006A74FA" w:rsidRPr="00582936" w14:paraId="543C487C" w14:textId="77777777" w:rsidTr="00924439">
        <w:trPr>
          <w:trHeight w:val="278"/>
        </w:trPr>
        <w:tc>
          <w:tcPr>
            <w:tcW w:w="2411" w:type="dxa"/>
            <w:shd w:val="clear" w:color="000000" w:fill="FFFFFF"/>
            <w:noWrap/>
            <w:vAlign w:val="center"/>
          </w:tcPr>
          <w:p w14:paraId="40446BE7" w14:textId="77777777" w:rsidR="006A74FA" w:rsidRPr="00582936" w:rsidRDefault="006A74FA" w:rsidP="00924439">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Secretaría de Educación Superior, Ciencia, Tecnología e Innovación</w:t>
            </w:r>
          </w:p>
        </w:tc>
        <w:tc>
          <w:tcPr>
            <w:tcW w:w="6318" w:type="dxa"/>
            <w:shd w:val="clear" w:color="000000" w:fill="FFFFFF"/>
            <w:vAlign w:val="center"/>
          </w:tcPr>
          <w:p w14:paraId="1BEC5317"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Esta institución solicita información para el desarrollo de investigaciones y estudios basados en estadísticas de la ENESEM. En especial a temas relacionados con la demanda laboral en las diferentes unidades productivas del país por tamaño y actividad económica.</w:t>
            </w:r>
          </w:p>
        </w:tc>
      </w:tr>
      <w:tr w:rsidR="006A74FA" w:rsidRPr="00582936" w14:paraId="27A5F800" w14:textId="77777777" w:rsidTr="00924439">
        <w:trPr>
          <w:trHeight w:val="278"/>
        </w:trPr>
        <w:tc>
          <w:tcPr>
            <w:tcW w:w="2411" w:type="dxa"/>
            <w:shd w:val="clear" w:color="000000" w:fill="FFFFFF"/>
            <w:noWrap/>
            <w:vAlign w:val="center"/>
          </w:tcPr>
          <w:p w14:paraId="27B5A08E" w14:textId="77777777" w:rsidR="006A74FA" w:rsidRPr="00582936" w:rsidRDefault="006A74FA" w:rsidP="00831EA9">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Superintendencia de</w:t>
            </w:r>
            <w:r w:rsidR="00831EA9">
              <w:rPr>
                <w:rFonts w:ascii="Century Gothic" w:eastAsia="Times New Roman" w:hAnsi="Century Gothic" w:cs="Times New Roman"/>
                <w:iCs/>
                <w:color w:val="6E6E7C"/>
                <w:sz w:val="16"/>
                <w:szCs w:val="16"/>
                <w:lang w:eastAsia="es-EC"/>
              </w:rPr>
              <w:t xml:space="preserve"> Competencia Económica</w:t>
            </w:r>
          </w:p>
        </w:tc>
        <w:tc>
          <w:tcPr>
            <w:tcW w:w="6318" w:type="dxa"/>
            <w:shd w:val="clear" w:color="000000" w:fill="FFFFFF"/>
            <w:vAlign w:val="center"/>
          </w:tcPr>
          <w:p w14:paraId="7DDD2373" w14:textId="77777777" w:rsidR="006A74FA" w:rsidRPr="00582936" w:rsidRDefault="006A74FA" w:rsidP="00924439">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Resulta importante conocer la participación de las empresas en el mercado para evitar la formación de monopolios, oligopolios o malas prácticas comerciales.</w:t>
            </w:r>
          </w:p>
        </w:tc>
      </w:tr>
      <w:tr w:rsidR="006A74FA" w:rsidRPr="00582936" w14:paraId="04A5E3E0" w14:textId="77777777" w:rsidTr="00924439">
        <w:trPr>
          <w:trHeight w:val="278"/>
        </w:trPr>
        <w:tc>
          <w:tcPr>
            <w:tcW w:w="2411" w:type="dxa"/>
            <w:shd w:val="clear" w:color="000000" w:fill="FFFFFF"/>
            <w:noWrap/>
            <w:vAlign w:val="center"/>
          </w:tcPr>
          <w:p w14:paraId="2527F058" w14:textId="77777777" w:rsidR="006A74FA" w:rsidRPr="00BD2C91" w:rsidRDefault="007F33D1" w:rsidP="00924439">
            <w:pPr>
              <w:spacing w:line="276" w:lineRule="auto"/>
              <w:rPr>
                <w:rFonts w:ascii="Century Gothic" w:eastAsia="Times New Roman" w:hAnsi="Century Gothic" w:cs="Times New Roman"/>
                <w:iCs/>
                <w:color w:val="6E6E7C"/>
                <w:sz w:val="16"/>
                <w:szCs w:val="16"/>
                <w:lang w:eastAsia="es-EC"/>
              </w:rPr>
            </w:pPr>
            <w:r w:rsidRPr="00BD2C91">
              <w:rPr>
                <w:rFonts w:ascii="Century Gothic" w:eastAsia="Times New Roman" w:hAnsi="Century Gothic" w:cs="Times New Roman"/>
                <w:iCs/>
                <w:color w:val="6E6E7C"/>
                <w:sz w:val="16"/>
                <w:szCs w:val="16"/>
                <w:lang w:eastAsia="es-EC"/>
              </w:rPr>
              <w:t>Ministro de Energía y Recursos Naturales No Renovables</w:t>
            </w:r>
          </w:p>
        </w:tc>
        <w:tc>
          <w:tcPr>
            <w:tcW w:w="6318" w:type="dxa"/>
            <w:shd w:val="clear" w:color="000000" w:fill="FFFFFF"/>
            <w:vAlign w:val="center"/>
          </w:tcPr>
          <w:p w14:paraId="083C195E" w14:textId="77777777" w:rsidR="006A74FA" w:rsidRPr="00BD2C91" w:rsidRDefault="00BD2C91" w:rsidP="00BD2C91">
            <w:pPr>
              <w:spacing w:line="276" w:lineRule="auto"/>
              <w:jc w:val="both"/>
              <w:rPr>
                <w:rFonts w:ascii="Century Gothic" w:eastAsia="Times New Roman" w:hAnsi="Century Gothic" w:cs="Times New Roman"/>
                <w:iCs/>
                <w:color w:val="6E6E7C"/>
                <w:sz w:val="16"/>
                <w:szCs w:val="16"/>
                <w:lang w:eastAsia="es-EC"/>
              </w:rPr>
            </w:pPr>
            <w:r w:rsidRPr="00BD2C91">
              <w:rPr>
                <w:rFonts w:ascii="Century Gothic" w:eastAsia="Times New Roman" w:hAnsi="Century Gothic" w:cs="Times New Roman"/>
                <w:iCs/>
                <w:color w:val="6E6E7C"/>
                <w:sz w:val="16"/>
                <w:szCs w:val="16"/>
                <w:lang w:eastAsia="es-EC"/>
              </w:rPr>
              <w:t>Resulta relevante para impulsar acciones que aseguren el cumplimiento de las políticas públicas actuales y las atribuciones institucionales, en un marco de aprovechamiento sostenible y ambientalmente responsable de los recursos naturales no renovables.</w:t>
            </w:r>
          </w:p>
        </w:tc>
      </w:tr>
    </w:tbl>
    <w:p w14:paraId="6B23A8BE" w14:textId="77777777" w:rsidR="006A74FA" w:rsidRPr="00582936" w:rsidRDefault="006A74FA" w:rsidP="006A74FA">
      <w:pPr>
        <w:spacing w:line="276" w:lineRule="auto"/>
        <w:jc w:val="both"/>
        <w:rPr>
          <w:rFonts w:ascii="Century Gothic" w:eastAsia="Calibri" w:hAnsi="Century Gothic" w:cs="Times New Roman"/>
          <w:bCs/>
          <w:iCs/>
          <w:color w:val="6E6E7C"/>
          <w:sz w:val="16"/>
          <w:szCs w:val="16"/>
        </w:rPr>
      </w:pPr>
      <w:r w:rsidRPr="00582936">
        <w:rPr>
          <w:rFonts w:ascii="Century Gothic" w:eastAsia="Calibri" w:hAnsi="Century Gothic" w:cs="Times New Roman"/>
          <w:b/>
          <w:bCs/>
          <w:iCs/>
          <w:color w:val="6E6E7C"/>
          <w:sz w:val="16"/>
          <w:szCs w:val="16"/>
        </w:rPr>
        <w:t xml:space="preserve">Fuente: </w:t>
      </w:r>
      <w:r w:rsidRPr="00582936">
        <w:rPr>
          <w:rFonts w:ascii="Century Gothic" w:eastAsia="Calibri" w:hAnsi="Century Gothic" w:cs="Times New Roman"/>
          <w:bCs/>
          <w:iCs/>
          <w:color w:val="6E6E7C"/>
          <w:sz w:val="16"/>
          <w:szCs w:val="16"/>
        </w:rPr>
        <w:t>INEC, Encuesta Estructural Empresarial (ENESEM 2022).</w:t>
      </w:r>
    </w:p>
    <w:p w14:paraId="520D6CD8" w14:textId="77777777" w:rsidR="006A74FA" w:rsidRPr="00582936" w:rsidRDefault="006A74FA" w:rsidP="006A74FA">
      <w:pPr>
        <w:spacing w:line="276" w:lineRule="auto"/>
        <w:jc w:val="both"/>
        <w:rPr>
          <w:rFonts w:ascii="Century Gothic" w:eastAsia="Calibri" w:hAnsi="Century Gothic" w:cs="Times New Roman"/>
          <w:bCs/>
          <w:iCs/>
          <w:color w:val="6E6E7C"/>
          <w:sz w:val="16"/>
          <w:szCs w:val="16"/>
        </w:rPr>
      </w:pPr>
      <w:r w:rsidRPr="00582936">
        <w:rPr>
          <w:rFonts w:ascii="Century Gothic" w:eastAsia="Calibri" w:hAnsi="Century Gothic" w:cs="Times New Roman"/>
          <w:b/>
          <w:iCs/>
          <w:color w:val="6E6E7C"/>
          <w:sz w:val="16"/>
          <w:szCs w:val="16"/>
        </w:rPr>
        <w:t>Elaboración:</w:t>
      </w:r>
      <w:r w:rsidRPr="00582936">
        <w:rPr>
          <w:rFonts w:ascii="Century Gothic" w:eastAsia="Calibri" w:hAnsi="Century Gothic" w:cs="Times New Roman"/>
          <w:bCs/>
          <w:iCs/>
          <w:color w:val="6E6E7C"/>
          <w:sz w:val="16"/>
          <w:szCs w:val="16"/>
        </w:rPr>
        <w:t xml:space="preserve"> Gestión de Estadísticas Estructurales (GESE).</w:t>
      </w:r>
    </w:p>
    <w:p w14:paraId="681582FE" w14:textId="77777777" w:rsidR="006A74FA" w:rsidRPr="00582936" w:rsidRDefault="006A74FA" w:rsidP="006A74FA">
      <w:pPr>
        <w:spacing w:line="276" w:lineRule="auto"/>
        <w:jc w:val="both"/>
        <w:rPr>
          <w:rFonts w:ascii="Century Gothic" w:eastAsia="Calibri" w:hAnsi="Century Gothic" w:cs="Times New Roman"/>
          <w:bCs/>
          <w:iCs/>
          <w:color w:val="6E6E7C"/>
          <w:sz w:val="16"/>
          <w:szCs w:val="16"/>
        </w:rPr>
      </w:pPr>
    </w:p>
    <w:p w14:paraId="1C4F3307" w14:textId="77777777" w:rsidR="00BD2C91" w:rsidRPr="00BD2C91" w:rsidRDefault="006A74FA" w:rsidP="00BD2C91">
      <w:pPr>
        <w:pStyle w:val="Descripcin"/>
        <w:spacing w:after="0"/>
        <w:jc w:val="center"/>
        <w:rPr>
          <w:rFonts w:ascii="Century Gothic" w:eastAsia="Times New Roman" w:hAnsi="Century Gothic" w:cs="Times New Roman"/>
          <w:b w:val="0"/>
          <w:bCs w:val="0"/>
          <w:iCs/>
          <w:color w:val="6E6E7C"/>
          <w:lang w:eastAsia="es-EC"/>
        </w:rPr>
      </w:pPr>
      <w:bookmarkStart w:id="43" w:name="_Toc157006966"/>
      <w:bookmarkStart w:id="44" w:name="_Toc157368482"/>
      <w:bookmarkStart w:id="45" w:name="_Toc157585778"/>
      <w:bookmarkStart w:id="46" w:name="_Toc157671115"/>
      <w:bookmarkStart w:id="47" w:name="_Toc158206881"/>
      <w:bookmarkStart w:id="48" w:name="_Toc161322597"/>
      <w:r w:rsidRPr="00582936">
        <w:rPr>
          <w:rFonts w:ascii="Century Gothic" w:eastAsia="Times New Roman" w:hAnsi="Century Gothic" w:cs="Times New Roman"/>
          <w:bCs w:val="0"/>
          <w:iCs/>
          <w:color w:val="6E6E7C"/>
          <w:lang w:eastAsia="es-EC"/>
        </w:rPr>
        <w:t xml:space="preserve">Tabla </w:t>
      </w:r>
      <w:r w:rsidRPr="00582936">
        <w:rPr>
          <w:rFonts w:ascii="Century Gothic" w:eastAsia="Times New Roman" w:hAnsi="Century Gothic" w:cs="Times New Roman"/>
          <w:bCs w:val="0"/>
          <w:iCs/>
          <w:color w:val="6E6E7C"/>
          <w:lang w:eastAsia="es-EC"/>
        </w:rPr>
        <w:fldChar w:fldCharType="begin"/>
      </w:r>
      <w:r w:rsidRPr="00582936">
        <w:rPr>
          <w:rFonts w:ascii="Century Gothic" w:eastAsia="Times New Roman" w:hAnsi="Century Gothic" w:cs="Times New Roman"/>
          <w:bCs w:val="0"/>
          <w:iCs/>
          <w:color w:val="6E6E7C"/>
          <w:lang w:eastAsia="es-EC"/>
        </w:rPr>
        <w:instrText xml:space="preserve"> SEQ Tabla \* ARABIC </w:instrText>
      </w:r>
      <w:r w:rsidRPr="00582936">
        <w:rPr>
          <w:rFonts w:ascii="Century Gothic" w:eastAsia="Times New Roman" w:hAnsi="Century Gothic" w:cs="Times New Roman"/>
          <w:bCs w:val="0"/>
          <w:iCs/>
          <w:color w:val="6E6E7C"/>
          <w:lang w:eastAsia="es-EC"/>
        </w:rPr>
        <w:fldChar w:fldCharType="separate"/>
      </w:r>
      <w:r w:rsidR="00CF3585">
        <w:rPr>
          <w:rFonts w:ascii="Century Gothic" w:eastAsia="Times New Roman" w:hAnsi="Century Gothic" w:cs="Times New Roman"/>
          <w:bCs w:val="0"/>
          <w:iCs/>
          <w:noProof/>
          <w:color w:val="6E6E7C"/>
          <w:lang w:eastAsia="es-EC"/>
        </w:rPr>
        <w:t>3</w:t>
      </w:r>
      <w:r w:rsidRPr="00582936">
        <w:rPr>
          <w:rFonts w:ascii="Century Gothic" w:eastAsia="Times New Roman" w:hAnsi="Century Gothic" w:cs="Times New Roman"/>
          <w:bCs w:val="0"/>
          <w:iCs/>
          <w:color w:val="6E6E7C"/>
          <w:lang w:eastAsia="es-EC"/>
        </w:rPr>
        <w:fldChar w:fldCharType="end"/>
      </w:r>
      <w:r w:rsidRPr="00582936">
        <w:rPr>
          <w:rFonts w:ascii="Century Gothic" w:eastAsia="Times New Roman" w:hAnsi="Century Gothic" w:cs="Times New Roman"/>
          <w:bCs w:val="0"/>
          <w:iCs/>
          <w:color w:val="6E6E7C"/>
          <w:lang w:eastAsia="es-EC"/>
        </w:rPr>
        <w:t>.</w:t>
      </w:r>
      <w:r w:rsidRPr="00582936">
        <w:rPr>
          <w:rFonts w:ascii="Century Gothic" w:eastAsia="Times New Roman" w:hAnsi="Century Gothic" w:cs="Times New Roman"/>
          <w:b w:val="0"/>
          <w:bCs w:val="0"/>
          <w:iCs/>
          <w:color w:val="6E6E7C"/>
          <w:lang w:eastAsia="es-EC"/>
        </w:rPr>
        <w:t xml:space="preserve"> Usuarios internacionales y necesidades de la información de la ENESEM</w:t>
      </w:r>
      <w:bookmarkEnd w:id="43"/>
      <w:bookmarkEnd w:id="44"/>
      <w:bookmarkEnd w:id="45"/>
      <w:bookmarkEnd w:id="46"/>
      <w:bookmarkEnd w:id="47"/>
      <w:bookmarkEnd w:id="48"/>
    </w:p>
    <w:tbl>
      <w:tblPr>
        <w:tblpPr w:leftFromText="141" w:rightFromText="141" w:vertAnchor="text" w:horzAnchor="margin" w:tblpY="40"/>
        <w:tblW w:w="8784" w:type="dxa"/>
        <w:tblBorders>
          <w:top w:val="single" w:sz="4" w:space="0" w:color="767171"/>
          <w:left w:val="single" w:sz="4" w:space="0" w:color="767171"/>
          <w:bottom w:val="single" w:sz="4" w:space="0" w:color="767171"/>
          <w:right w:val="single" w:sz="4" w:space="0" w:color="767171"/>
          <w:insideH w:val="single" w:sz="4" w:space="0" w:color="767171"/>
          <w:insideV w:val="single" w:sz="4" w:space="0" w:color="767171"/>
        </w:tblBorders>
        <w:tblCellMar>
          <w:left w:w="70" w:type="dxa"/>
          <w:right w:w="70" w:type="dxa"/>
        </w:tblCellMar>
        <w:tblLook w:val="04A0" w:firstRow="1" w:lastRow="0" w:firstColumn="1" w:lastColumn="0" w:noHBand="0" w:noVBand="1"/>
      </w:tblPr>
      <w:tblGrid>
        <w:gridCol w:w="2771"/>
        <w:gridCol w:w="6013"/>
      </w:tblGrid>
      <w:tr w:rsidR="00BD2C91" w:rsidRPr="00582936" w14:paraId="6828F084" w14:textId="77777777" w:rsidTr="00460317">
        <w:trPr>
          <w:trHeight w:val="276"/>
        </w:trPr>
        <w:tc>
          <w:tcPr>
            <w:tcW w:w="2771" w:type="dxa"/>
            <w:shd w:val="clear" w:color="auto" w:fill="4266CE"/>
            <w:noWrap/>
            <w:vAlign w:val="center"/>
          </w:tcPr>
          <w:p w14:paraId="25654479" w14:textId="77777777" w:rsidR="00BD2C91" w:rsidRPr="00460317" w:rsidRDefault="00BD2C91" w:rsidP="00BD2C91">
            <w:pPr>
              <w:spacing w:line="276" w:lineRule="auto"/>
              <w:jc w:val="center"/>
              <w:rPr>
                <w:rFonts w:ascii="Century Gothic" w:eastAsia="Times New Roman" w:hAnsi="Century Gothic" w:cs="Times New Roman"/>
                <w:b/>
                <w:bCs/>
                <w:iCs/>
                <w:color w:val="FFFFFF" w:themeColor="background1"/>
                <w:sz w:val="16"/>
                <w:szCs w:val="16"/>
                <w:lang w:eastAsia="es-EC"/>
              </w:rPr>
            </w:pPr>
            <w:bookmarkStart w:id="49" w:name="_Toc128467608"/>
            <w:r w:rsidRPr="00460317">
              <w:rPr>
                <w:rFonts w:ascii="Century Gothic" w:eastAsia="Times New Roman" w:hAnsi="Century Gothic" w:cs="Times New Roman"/>
                <w:b/>
                <w:bCs/>
                <w:iCs/>
                <w:color w:val="FFFFFF" w:themeColor="background1"/>
                <w:sz w:val="16"/>
                <w:szCs w:val="16"/>
                <w:lang w:eastAsia="es-EC"/>
              </w:rPr>
              <w:t>Usuario Internacional</w:t>
            </w:r>
          </w:p>
        </w:tc>
        <w:tc>
          <w:tcPr>
            <w:tcW w:w="6013" w:type="dxa"/>
            <w:shd w:val="clear" w:color="auto" w:fill="4266CE"/>
            <w:vAlign w:val="center"/>
          </w:tcPr>
          <w:p w14:paraId="3900A0E3" w14:textId="77777777" w:rsidR="00BD2C91" w:rsidRPr="00460317" w:rsidRDefault="00BD2C91" w:rsidP="00BD2C91">
            <w:pPr>
              <w:spacing w:line="276" w:lineRule="auto"/>
              <w:jc w:val="center"/>
              <w:rPr>
                <w:rFonts w:ascii="Century Gothic" w:eastAsia="Times New Roman" w:hAnsi="Century Gothic" w:cs="Times New Roman"/>
                <w:b/>
                <w:bCs/>
                <w:iCs/>
                <w:color w:val="FFFFFF" w:themeColor="background1"/>
                <w:sz w:val="16"/>
                <w:szCs w:val="16"/>
                <w:lang w:eastAsia="es-EC"/>
              </w:rPr>
            </w:pPr>
            <w:r w:rsidRPr="00460317">
              <w:rPr>
                <w:rFonts w:ascii="Century Gothic" w:eastAsia="Times New Roman" w:hAnsi="Century Gothic" w:cs="Times New Roman"/>
                <w:b/>
                <w:bCs/>
                <w:iCs/>
                <w:color w:val="FFFFFF" w:themeColor="background1"/>
                <w:sz w:val="16"/>
                <w:szCs w:val="16"/>
                <w:lang w:eastAsia="es-EC"/>
              </w:rPr>
              <w:t>Necesidades y usos de la información</w:t>
            </w:r>
          </w:p>
        </w:tc>
      </w:tr>
      <w:tr w:rsidR="00BD2C91" w:rsidRPr="00582936" w14:paraId="49177DD0" w14:textId="77777777" w:rsidTr="00BD2C91">
        <w:trPr>
          <w:trHeight w:val="276"/>
        </w:trPr>
        <w:tc>
          <w:tcPr>
            <w:tcW w:w="2771" w:type="dxa"/>
            <w:shd w:val="clear" w:color="000000" w:fill="FFFFFF"/>
            <w:noWrap/>
            <w:vAlign w:val="center"/>
          </w:tcPr>
          <w:p w14:paraId="059FDFCF" w14:textId="77777777" w:rsidR="00BD2C91" w:rsidRPr="00582936" w:rsidRDefault="00BD2C91" w:rsidP="00BD2C91">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Comunidad Andina de Naciones</w:t>
            </w:r>
          </w:p>
        </w:tc>
        <w:tc>
          <w:tcPr>
            <w:tcW w:w="6013" w:type="dxa"/>
            <w:shd w:val="clear" w:color="000000" w:fill="FFFFFF"/>
            <w:vAlign w:val="center"/>
          </w:tcPr>
          <w:p w14:paraId="6159B23B" w14:textId="77777777" w:rsidR="00BD2C91" w:rsidRPr="00582936" w:rsidRDefault="00BD2C91" w:rsidP="00BD2C91">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Requiere información de la ENESEM sobre cantidad y valor de materias primas y de productos elaborados, valor agregado, personal ocupado, entre otras variables, que se dan a conocer en publicaciones propias de la comunidad que incluyen datos de todos los países que conforman la CAN.</w:t>
            </w:r>
          </w:p>
        </w:tc>
      </w:tr>
      <w:tr w:rsidR="00BD2C91" w:rsidRPr="00582936" w14:paraId="3D82D1F4" w14:textId="77777777" w:rsidTr="00BD2C91">
        <w:trPr>
          <w:trHeight w:val="276"/>
        </w:trPr>
        <w:tc>
          <w:tcPr>
            <w:tcW w:w="2771" w:type="dxa"/>
            <w:shd w:val="clear" w:color="000000" w:fill="FFFFFF"/>
            <w:noWrap/>
            <w:vAlign w:val="center"/>
          </w:tcPr>
          <w:p w14:paraId="2542827C" w14:textId="77777777" w:rsidR="00BD2C91" w:rsidRPr="00582936" w:rsidRDefault="00BD2C91" w:rsidP="00BD2C91">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Organización de las Naciones Unidas para el Desarrollo Industrial</w:t>
            </w:r>
          </w:p>
        </w:tc>
        <w:tc>
          <w:tcPr>
            <w:tcW w:w="6013" w:type="dxa"/>
            <w:shd w:val="clear" w:color="000000" w:fill="FFFFFF"/>
            <w:vAlign w:val="center"/>
          </w:tcPr>
          <w:p w14:paraId="0394946F" w14:textId="77777777" w:rsidR="00BD2C91" w:rsidRPr="00582936" w:rsidRDefault="00BD2C91" w:rsidP="00BD2C91">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 xml:space="preserve">Los datos de la ENESEM son presentados en la publicación anual denominada “International </w:t>
            </w:r>
            <w:proofErr w:type="spellStart"/>
            <w:r w:rsidRPr="00582936">
              <w:rPr>
                <w:rFonts w:ascii="Century Gothic" w:eastAsia="Times New Roman" w:hAnsi="Century Gothic" w:cs="Times New Roman"/>
                <w:iCs/>
                <w:color w:val="6E6E7C"/>
                <w:sz w:val="16"/>
                <w:szCs w:val="16"/>
                <w:lang w:eastAsia="es-EC"/>
              </w:rPr>
              <w:t>Yearbook</w:t>
            </w:r>
            <w:proofErr w:type="spellEnd"/>
            <w:r w:rsidRPr="00582936">
              <w:rPr>
                <w:rFonts w:ascii="Century Gothic" w:eastAsia="Times New Roman" w:hAnsi="Century Gothic" w:cs="Times New Roman"/>
                <w:iCs/>
                <w:color w:val="6E6E7C"/>
                <w:sz w:val="16"/>
                <w:szCs w:val="16"/>
                <w:lang w:eastAsia="es-EC"/>
              </w:rPr>
              <w:t xml:space="preserve"> of Industrial </w:t>
            </w:r>
            <w:proofErr w:type="spellStart"/>
            <w:r w:rsidRPr="00582936">
              <w:rPr>
                <w:rFonts w:ascii="Century Gothic" w:eastAsia="Times New Roman" w:hAnsi="Century Gothic" w:cs="Times New Roman"/>
                <w:iCs/>
                <w:color w:val="6E6E7C"/>
                <w:sz w:val="16"/>
                <w:szCs w:val="16"/>
                <w:lang w:eastAsia="es-EC"/>
              </w:rPr>
              <w:t>Statistics</w:t>
            </w:r>
            <w:proofErr w:type="spellEnd"/>
            <w:r w:rsidRPr="00582936">
              <w:rPr>
                <w:rFonts w:ascii="Century Gothic" w:eastAsia="Times New Roman" w:hAnsi="Century Gothic" w:cs="Times New Roman"/>
                <w:iCs/>
                <w:color w:val="6E6E7C"/>
                <w:sz w:val="16"/>
                <w:szCs w:val="16"/>
                <w:lang w:eastAsia="es-EC"/>
              </w:rPr>
              <w:t xml:space="preserve">”, y para el Informe del Grupo de </w:t>
            </w:r>
            <w:proofErr w:type="spellStart"/>
            <w:r w:rsidRPr="00582936">
              <w:rPr>
                <w:rFonts w:ascii="Century Gothic" w:eastAsia="Times New Roman" w:hAnsi="Century Gothic" w:cs="Times New Roman"/>
                <w:iCs/>
                <w:color w:val="6E6E7C"/>
                <w:sz w:val="16"/>
                <w:szCs w:val="16"/>
                <w:lang w:eastAsia="es-EC"/>
              </w:rPr>
              <w:t>Voorburg</w:t>
            </w:r>
            <w:proofErr w:type="spellEnd"/>
            <w:r w:rsidRPr="00582936">
              <w:rPr>
                <w:rFonts w:ascii="Century Gothic" w:eastAsia="Times New Roman" w:hAnsi="Century Gothic" w:cs="Times New Roman"/>
                <w:iCs/>
                <w:color w:val="6E6E7C"/>
                <w:sz w:val="16"/>
                <w:szCs w:val="16"/>
                <w:lang w:eastAsia="es-EC"/>
              </w:rPr>
              <w:t xml:space="preserve"> sobre Estadísticas de Servicios.</w:t>
            </w:r>
          </w:p>
          <w:p w14:paraId="760F2171" w14:textId="77777777" w:rsidR="00BD2C91" w:rsidRPr="00582936" w:rsidRDefault="00BD2C91" w:rsidP="00BD2C91">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 xml:space="preserve">Cabe mencionar que el INEC, anualmente entrega a la Organización de las Naciones Unidas para el Desarrollo Industrial (ONUDI) los siguientes productos: “Cuestionario sobre estadísticas industriales generales” con información de agregados macroeconómicos como: número de empresas, </w:t>
            </w:r>
            <w:r w:rsidRPr="00582936">
              <w:rPr>
                <w:rFonts w:ascii="Century Gothic" w:eastAsia="Times New Roman" w:hAnsi="Century Gothic" w:cs="Times New Roman"/>
                <w:iCs/>
                <w:color w:val="6E6E7C"/>
                <w:sz w:val="16"/>
                <w:szCs w:val="16"/>
                <w:lang w:eastAsia="es-EC"/>
              </w:rPr>
              <w:lastRenderedPageBreak/>
              <w:t>producción, valor agregado, formación bruta de capital fijo, número de personas ocupadas, sueldos y salarios pagados. También, como aporte al Seguimiento Global de los Indicadores de los Objetivos de Desarrollo Sostenibles se entrega el “Cuestionario de estadísticas sobre los productos industriales” según la Clasificación Central de Productos (CPC). Además, la ENESEM entrega la base de datos del sector comercio según CPC, al Departamento de Asuntos Económicos y Sociales de las Naciones Unidas.</w:t>
            </w:r>
          </w:p>
        </w:tc>
      </w:tr>
      <w:tr w:rsidR="00BD2C91" w:rsidRPr="00582936" w14:paraId="123FA9B4" w14:textId="77777777" w:rsidTr="00BD2C91">
        <w:trPr>
          <w:trHeight w:val="276"/>
        </w:trPr>
        <w:tc>
          <w:tcPr>
            <w:tcW w:w="2771" w:type="dxa"/>
            <w:shd w:val="clear" w:color="000000" w:fill="FFFFFF"/>
            <w:noWrap/>
            <w:vAlign w:val="center"/>
          </w:tcPr>
          <w:p w14:paraId="5EBD58AD" w14:textId="77777777" w:rsidR="00BD2C91" w:rsidRPr="00582936" w:rsidRDefault="00BD2C91" w:rsidP="00BD2C91">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lastRenderedPageBreak/>
              <w:t>Conferencia de las Naciones Unidas sobre Comercio y Desarrollo</w:t>
            </w:r>
          </w:p>
        </w:tc>
        <w:tc>
          <w:tcPr>
            <w:tcW w:w="6013" w:type="dxa"/>
            <w:shd w:val="clear" w:color="000000" w:fill="FFFFFF"/>
            <w:vAlign w:val="center"/>
          </w:tcPr>
          <w:p w14:paraId="20FFD94A" w14:textId="77777777" w:rsidR="00BD2C91" w:rsidRPr="00582936" w:rsidRDefault="00BD2C91" w:rsidP="00BD2C91">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Este organismo requiere información de la ENESEM respecto a empresas para la construcción de indicadores referentes al uso de internet, equipos tecnológicos, transacciones comerciales electrónicas por tamaño de la empresa y actividad económica.</w:t>
            </w:r>
          </w:p>
        </w:tc>
      </w:tr>
      <w:tr w:rsidR="00BD2C91" w:rsidRPr="00582936" w14:paraId="55E27461" w14:textId="77777777" w:rsidTr="00BD2C91">
        <w:trPr>
          <w:trHeight w:val="276"/>
        </w:trPr>
        <w:tc>
          <w:tcPr>
            <w:tcW w:w="2771" w:type="dxa"/>
            <w:shd w:val="clear" w:color="000000" w:fill="FFFFFF"/>
            <w:noWrap/>
            <w:vAlign w:val="center"/>
          </w:tcPr>
          <w:p w14:paraId="2F5E0C40" w14:textId="77777777" w:rsidR="00BD2C91" w:rsidRPr="00582936" w:rsidRDefault="00BD2C91" w:rsidP="00BD2C91">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Organización Internacional del Trabajo</w:t>
            </w:r>
          </w:p>
        </w:tc>
        <w:tc>
          <w:tcPr>
            <w:tcW w:w="6013" w:type="dxa"/>
            <w:shd w:val="clear" w:color="000000" w:fill="FFFFFF"/>
            <w:vAlign w:val="center"/>
          </w:tcPr>
          <w:p w14:paraId="4608AD05" w14:textId="77777777" w:rsidR="00BD2C91" w:rsidRPr="00582936" w:rsidRDefault="00BD2C91" w:rsidP="00BD2C91">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Esta institución se beneficia de la información recolectada por la ENESEM en cuanto al personal ocupado desagregado por grupos ocupacionales y sexo.</w:t>
            </w:r>
          </w:p>
        </w:tc>
      </w:tr>
      <w:tr w:rsidR="00BD2C91" w:rsidRPr="00582936" w14:paraId="197FED8C" w14:textId="77777777" w:rsidTr="00BD2C91">
        <w:trPr>
          <w:trHeight w:val="276"/>
        </w:trPr>
        <w:tc>
          <w:tcPr>
            <w:tcW w:w="2771" w:type="dxa"/>
            <w:shd w:val="clear" w:color="000000" w:fill="FFFFFF"/>
            <w:noWrap/>
            <w:vAlign w:val="center"/>
          </w:tcPr>
          <w:p w14:paraId="6B9785BA" w14:textId="77777777" w:rsidR="00BD2C91" w:rsidRPr="00582936" w:rsidRDefault="00BD2C91" w:rsidP="00BD2C91">
            <w:pPr>
              <w:spacing w:line="276" w:lineRule="auto"/>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Comisión Económica para América Latina y el Caribe</w:t>
            </w:r>
          </w:p>
        </w:tc>
        <w:tc>
          <w:tcPr>
            <w:tcW w:w="6013" w:type="dxa"/>
            <w:shd w:val="clear" w:color="000000" w:fill="FFFFFF"/>
            <w:vAlign w:val="center"/>
          </w:tcPr>
          <w:p w14:paraId="2EF21E44" w14:textId="77777777" w:rsidR="00BD2C91" w:rsidRPr="00582936" w:rsidRDefault="00BD2C91" w:rsidP="00BD2C91">
            <w:pPr>
              <w:spacing w:line="276" w:lineRule="auto"/>
              <w:jc w:val="both"/>
              <w:rPr>
                <w:rFonts w:ascii="Century Gothic" w:eastAsia="Times New Roman" w:hAnsi="Century Gothic" w:cs="Times New Roman"/>
                <w:iCs/>
                <w:color w:val="6E6E7C"/>
                <w:sz w:val="16"/>
                <w:szCs w:val="16"/>
                <w:lang w:eastAsia="es-EC"/>
              </w:rPr>
            </w:pPr>
            <w:r w:rsidRPr="00582936">
              <w:rPr>
                <w:rFonts w:ascii="Century Gothic" w:eastAsia="Times New Roman" w:hAnsi="Century Gothic" w:cs="Times New Roman"/>
                <w:iCs/>
                <w:color w:val="6E6E7C"/>
                <w:sz w:val="16"/>
                <w:szCs w:val="16"/>
                <w:lang w:eastAsia="es-EC"/>
              </w:rPr>
              <w:t>Este organismo requiere información de la ENESEM para insumo en la creación de indicadores que tratan sobre desarrollo productivo e innovación.</w:t>
            </w:r>
          </w:p>
        </w:tc>
      </w:tr>
      <w:bookmarkEnd w:id="49"/>
    </w:tbl>
    <w:p w14:paraId="5BC8DB57" w14:textId="77777777" w:rsidR="00BD2C91" w:rsidRDefault="00BD2C91" w:rsidP="006A74FA">
      <w:pPr>
        <w:spacing w:line="276" w:lineRule="auto"/>
        <w:jc w:val="both"/>
        <w:rPr>
          <w:rFonts w:ascii="Century Gothic" w:eastAsia="Calibri" w:hAnsi="Century Gothic" w:cs="Times New Roman"/>
          <w:b/>
          <w:bCs/>
          <w:iCs/>
          <w:color w:val="6E6E7C"/>
          <w:sz w:val="16"/>
          <w:szCs w:val="16"/>
        </w:rPr>
      </w:pPr>
    </w:p>
    <w:p w14:paraId="43937D62" w14:textId="77777777" w:rsidR="006A74FA" w:rsidRPr="00582936" w:rsidRDefault="006A74FA" w:rsidP="006A74FA">
      <w:pPr>
        <w:spacing w:line="276" w:lineRule="auto"/>
        <w:jc w:val="both"/>
        <w:rPr>
          <w:rFonts w:ascii="Century Gothic" w:eastAsia="Calibri" w:hAnsi="Century Gothic" w:cs="Times New Roman"/>
          <w:bCs/>
          <w:iCs/>
          <w:color w:val="6E6E7C"/>
          <w:sz w:val="16"/>
          <w:szCs w:val="16"/>
        </w:rPr>
      </w:pPr>
      <w:r w:rsidRPr="00582936">
        <w:rPr>
          <w:rFonts w:ascii="Century Gothic" w:eastAsia="Calibri" w:hAnsi="Century Gothic" w:cs="Times New Roman"/>
          <w:b/>
          <w:bCs/>
          <w:iCs/>
          <w:color w:val="6E6E7C"/>
          <w:sz w:val="16"/>
          <w:szCs w:val="16"/>
        </w:rPr>
        <w:t xml:space="preserve">Fuente: </w:t>
      </w:r>
      <w:r w:rsidRPr="00582936">
        <w:rPr>
          <w:rFonts w:ascii="Century Gothic" w:eastAsia="Calibri" w:hAnsi="Century Gothic" w:cs="Times New Roman"/>
          <w:bCs/>
          <w:iCs/>
          <w:color w:val="6E6E7C"/>
          <w:sz w:val="16"/>
          <w:szCs w:val="16"/>
        </w:rPr>
        <w:t>INEC, Encuesta Estructural Empresarial (ENESEM 2022).</w:t>
      </w:r>
    </w:p>
    <w:p w14:paraId="0C3DFE35" w14:textId="77777777" w:rsidR="006A74FA" w:rsidRPr="00582936" w:rsidRDefault="006A74FA" w:rsidP="006A74FA">
      <w:pPr>
        <w:spacing w:line="276" w:lineRule="auto"/>
        <w:jc w:val="both"/>
        <w:rPr>
          <w:rFonts w:ascii="Century Gothic" w:eastAsia="Calibri" w:hAnsi="Century Gothic" w:cs="Times New Roman"/>
          <w:bCs/>
          <w:iCs/>
          <w:color w:val="6E6E7C"/>
          <w:sz w:val="16"/>
          <w:szCs w:val="16"/>
        </w:rPr>
      </w:pPr>
      <w:r w:rsidRPr="00582936">
        <w:rPr>
          <w:rFonts w:ascii="Century Gothic" w:eastAsia="Calibri" w:hAnsi="Century Gothic" w:cs="Times New Roman"/>
          <w:b/>
          <w:iCs/>
          <w:color w:val="6E6E7C"/>
          <w:sz w:val="16"/>
          <w:szCs w:val="16"/>
        </w:rPr>
        <w:t>Elaboración</w:t>
      </w:r>
      <w:r w:rsidRPr="00582936">
        <w:rPr>
          <w:rFonts w:ascii="Century Gothic" w:eastAsia="Calibri" w:hAnsi="Century Gothic" w:cs="Times New Roman"/>
          <w:bCs/>
          <w:iCs/>
          <w:color w:val="6E6E7C"/>
          <w:sz w:val="16"/>
          <w:szCs w:val="16"/>
        </w:rPr>
        <w:t>: Gestión de Estadísticas Estructurales (GESE).</w:t>
      </w:r>
    </w:p>
    <w:p w14:paraId="414DF66B" w14:textId="77777777" w:rsidR="006A74FA" w:rsidRPr="00582936" w:rsidRDefault="006A74FA" w:rsidP="006A74FA">
      <w:pPr>
        <w:spacing w:line="276" w:lineRule="auto"/>
        <w:jc w:val="both"/>
        <w:rPr>
          <w:rFonts w:ascii="Century Gothic" w:eastAsia="Calibri" w:hAnsi="Century Gothic" w:cs="Times New Roman"/>
          <w:bCs/>
          <w:iCs/>
          <w:color w:val="6E6E7C"/>
          <w:sz w:val="16"/>
          <w:szCs w:val="16"/>
        </w:rPr>
      </w:pPr>
    </w:p>
    <w:p w14:paraId="66F3456E" w14:textId="77777777" w:rsidR="006A74FA" w:rsidRPr="00BD0CD2" w:rsidRDefault="006A74FA" w:rsidP="006A74FA">
      <w:pPr>
        <w:pStyle w:val="Ttulo2"/>
        <w:numPr>
          <w:ilvl w:val="1"/>
          <w:numId w:val="1"/>
        </w:numPr>
        <w:spacing w:before="0" w:line="276" w:lineRule="auto"/>
        <w:rPr>
          <w:rFonts w:eastAsiaTheme="minorHAnsi" w:cstheme="minorBidi"/>
          <w:bCs/>
          <w:color w:val="6E6E7C"/>
          <w:sz w:val="28"/>
          <w:szCs w:val="44"/>
        </w:rPr>
      </w:pPr>
      <w:bookmarkStart w:id="50" w:name="_Toc126657976"/>
      <w:bookmarkStart w:id="51" w:name="_Toc148617327"/>
      <w:bookmarkStart w:id="52" w:name="_Toc161322539"/>
      <w:r w:rsidRPr="00BD0CD2">
        <w:rPr>
          <w:rFonts w:eastAsiaTheme="minorHAnsi" w:cstheme="minorBidi"/>
          <w:bCs/>
          <w:color w:val="6E6E7C"/>
          <w:sz w:val="28"/>
          <w:szCs w:val="44"/>
        </w:rPr>
        <w:t>Marco normativo</w:t>
      </w:r>
      <w:bookmarkEnd w:id="50"/>
      <w:bookmarkEnd w:id="51"/>
      <w:bookmarkEnd w:id="52"/>
    </w:p>
    <w:p w14:paraId="1DBB6FA5"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El Art.2 del </w:t>
      </w:r>
      <w:r w:rsidR="00DA2677">
        <w:rPr>
          <w:rFonts w:ascii="Century Gothic" w:eastAsia="Calibri" w:hAnsi="Century Gothic" w:cs="Times New Roman"/>
          <w:iCs/>
          <w:color w:val="6E6E7C"/>
          <w:sz w:val="21"/>
          <w:szCs w:val="21"/>
          <w:lang w:eastAsia="es-EC"/>
        </w:rPr>
        <w:t>Sistema Estadístico N</w:t>
      </w:r>
      <w:r w:rsidRPr="00582936">
        <w:rPr>
          <w:rFonts w:ascii="Century Gothic" w:eastAsia="Calibri" w:hAnsi="Century Gothic" w:cs="Times New Roman"/>
          <w:iCs/>
          <w:color w:val="6E6E7C"/>
          <w:sz w:val="21"/>
          <w:szCs w:val="21"/>
          <w:lang w:eastAsia="es-EC"/>
        </w:rPr>
        <w:t xml:space="preserve">acional menciona que “El Sistema Estadístico Nacional estará orientado a la investigación, estudio, planificación, producción, publicación y distribución de las estadísticas nacionales que faciliten el análisis económico-social, para los programas de desarrollo, de acuerdo con la realidad nacional” </w:t>
      </w:r>
      <w:sdt>
        <w:sdtPr>
          <w:rPr>
            <w:rFonts w:ascii="Century Gothic" w:eastAsia="Calibri" w:hAnsi="Century Gothic" w:cs="Times New Roman"/>
            <w:iCs/>
            <w:color w:val="6E6E7C"/>
            <w:sz w:val="21"/>
            <w:szCs w:val="21"/>
            <w:lang w:eastAsia="es-EC"/>
          </w:rPr>
          <w:id w:val="-2065397077"/>
          <w:citation/>
        </w:sdtPr>
        <w:sdtContent>
          <w:r w:rsidR="00B32E01">
            <w:rPr>
              <w:rFonts w:ascii="Century Gothic" w:eastAsia="Calibri" w:hAnsi="Century Gothic" w:cs="Times New Roman"/>
              <w:iCs/>
              <w:color w:val="6E6E7C"/>
              <w:sz w:val="21"/>
              <w:szCs w:val="21"/>
              <w:lang w:eastAsia="es-EC"/>
            </w:rPr>
            <w:fldChar w:fldCharType="begin"/>
          </w:r>
          <w:r w:rsidR="00B32E01">
            <w:rPr>
              <w:rFonts w:ascii="Century Gothic" w:eastAsia="Calibri" w:hAnsi="Century Gothic" w:cs="Times New Roman"/>
              <w:iCs/>
              <w:color w:val="6E6E7C"/>
              <w:sz w:val="21"/>
              <w:szCs w:val="21"/>
              <w:lang w:val="es-ES" w:eastAsia="es-EC"/>
            </w:rPr>
            <w:instrText xml:space="preserve">CITATION Ley76 \l 3082 </w:instrText>
          </w:r>
          <w:r w:rsidR="00B32E01">
            <w:rPr>
              <w:rFonts w:ascii="Century Gothic" w:eastAsia="Calibri" w:hAnsi="Century Gothic" w:cs="Times New Roman"/>
              <w:iCs/>
              <w:color w:val="6E6E7C"/>
              <w:sz w:val="21"/>
              <w:szCs w:val="21"/>
              <w:lang w:eastAsia="es-EC"/>
            </w:rPr>
            <w:fldChar w:fldCharType="separate"/>
          </w:r>
          <w:r w:rsidR="006E6B3C" w:rsidRPr="006E6B3C">
            <w:rPr>
              <w:rFonts w:ascii="Century Gothic" w:eastAsia="Calibri" w:hAnsi="Century Gothic" w:cs="Times New Roman"/>
              <w:noProof/>
              <w:color w:val="6E6E7C"/>
              <w:sz w:val="21"/>
              <w:szCs w:val="21"/>
              <w:lang w:val="es-ES" w:eastAsia="es-EC"/>
            </w:rPr>
            <w:t>(Ley de Estadística, 1976)</w:t>
          </w:r>
          <w:r w:rsidR="00B32E01">
            <w:rPr>
              <w:rFonts w:ascii="Century Gothic" w:eastAsia="Calibri" w:hAnsi="Century Gothic" w:cs="Times New Roman"/>
              <w:iCs/>
              <w:color w:val="6E6E7C"/>
              <w:sz w:val="21"/>
              <w:szCs w:val="21"/>
              <w:lang w:eastAsia="es-EC"/>
            </w:rPr>
            <w:fldChar w:fldCharType="end"/>
          </w:r>
        </w:sdtContent>
      </w:sdt>
      <w:r w:rsidR="00B32E01">
        <w:rPr>
          <w:rFonts w:ascii="Century Gothic" w:eastAsia="Calibri" w:hAnsi="Century Gothic" w:cs="Times New Roman"/>
          <w:iCs/>
          <w:color w:val="6E6E7C"/>
          <w:sz w:val="21"/>
          <w:szCs w:val="21"/>
          <w:lang w:eastAsia="es-EC"/>
        </w:rPr>
        <w:t>.</w:t>
      </w:r>
    </w:p>
    <w:p w14:paraId="3AB6C8E2"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El capítulo 5 referente a la obligato</w:t>
      </w:r>
      <w:r w:rsidR="00DA2677">
        <w:rPr>
          <w:rFonts w:ascii="Century Gothic" w:eastAsia="Calibri" w:hAnsi="Century Gothic" w:cs="Times New Roman"/>
          <w:iCs/>
          <w:color w:val="6E6E7C"/>
          <w:sz w:val="21"/>
          <w:szCs w:val="21"/>
          <w:lang w:eastAsia="es-EC"/>
        </w:rPr>
        <w:t>riedad de suministrar datos al Sistema Estadístico N</w:t>
      </w:r>
      <w:r w:rsidRPr="00582936">
        <w:rPr>
          <w:rFonts w:ascii="Century Gothic" w:eastAsia="Calibri" w:hAnsi="Century Gothic" w:cs="Times New Roman"/>
          <w:iCs/>
          <w:color w:val="6E6E7C"/>
          <w:sz w:val="21"/>
          <w:szCs w:val="21"/>
          <w:lang w:eastAsia="es-EC"/>
        </w:rPr>
        <w:t xml:space="preserve">acional, explica que la apertura al proporcionar información estadística se encuentra ligada a los artículos: 20.-“todas las personas naturales o jurídicas domiciliadas, residentes, o que tengan alguna actividad en el país, sin exclusión alguna, están obligadas a suministrar, cuando sean legalmente requeridas, los datos o informaciones exclusivamente de carácter estadístico o censal” </w:t>
      </w:r>
      <w:sdt>
        <w:sdtPr>
          <w:rPr>
            <w:rFonts w:ascii="Century Gothic" w:eastAsia="Calibri" w:hAnsi="Century Gothic" w:cs="Times New Roman"/>
            <w:iCs/>
            <w:color w:val="6E6E7C"/>
            <w:sz w:val="21"/>
            <w:szCs w:val="21"/>
            <w:lang w:eastAsia="es-EC"/>
          </w:rPr>
          <w:id w:val="-1811929949"/>
          <w:citation/>
        </w:sdtPr>
        <w:sdtContent>
          <w:r w:rsidR="00B32E01">
            <w:rPr>
              <w:rFonts w:ascii="Century Gothic" w:eastAsia="Calibri" w:hAnsi="Century Gothic" w:cs="Times New Roman"/>
              <w:iCs/>
              <w:color w:val="6E6E7C"/>
              <w:sz w:val="21"/>
              <w:szCs w:val="21"/>
              <w:lang w:eastAsia="es-EC"/>
            </w:rPr>
            <w:fldChar w:fldCharType="begin"/>
          </w:r>
          <w:r w:rsidR="00B32E01">
            <w:rPr>
              <w:rFonts w:ascii="Century Gothic" w:eastAsia="Calibri" w:hAnsi="Century Gothic" w:cs="Times New Roman"/>
              <w:iCs/>
              <w:color w:val="6E6E7C"/>
              <w:sz w:val="21"/>
              <w:szCs w:val="21"/>
              <w:lang w:val="es-ES" w:eastAsia="es-EC"/>
            </w:rPr>
            <w:instrText xml:space="preserve"> CITATION Ley76 \l 3082 </w:instrText>
          </w:r>
          <w:r w:rsidR="00B32E01">
            <w:rPr>
              <w:rFonts w:ascii="Century Gothic" w:eastAsia="Calibri" w:hAnsi="Century Gothic" w:cs="Times New Roman"/>
              <w:iCs/>
              <w:color w:val="6E6E7C"/>
              <w:sz w:val="21"/>
              <w:szCs w:val="21"/>
              <w:lang w:eastAsia="es-EC"/>
            </w:rPr>
            <w:fldChar w:fldCharType="separate"/>
          </w:r>
          <w:r w:rsidR="006E6B3C" w:rsidRPr="006E6B3C">
            <w:rPr>
              <w:rFonts w:ascii="Century Gothic" w:eastAsia="Calibri" w:hAnsi="Century Gothic" w:cs="Times New Roman"/>
              <w:noProof/>
              <w:color w:val="6E6E7C"/>
              <w:sz w:val="21"/>
              <w:szCs w:val="21"/>
              <w:lang w:val="es-ES" w:eastAsia="es-EC"/>
            </w:rPr>
            <w:t>(Ley de Estadística, 1976)</w:t>
          </w:r>
          <w:r w:rsidR="00B32E01">
            <w:rPr>
              <w:rFonts w:ascii="Century Gothic" w:eastAsia="Calibri" w:hAnsi="Century Gothic" w:cs="Times New Roman"/>
              <w:iCs/>
              <w:color w:val="6E6E7C"/>
              <w:sz w:val="21"/>
              <w:szCs w:val="21"/>
              <w:lang w:eastAsia="es-EC"/>
            </w:rPr>
            <w:fldChar w:fldCharType="end"/>
          </w:r>
        </w:sdtContent>
      </w:sdt>
      <w:r w:rsidR="00B32E01">
        <w:rPr>
          <w:rFonts w:ascii="Century Gothic" w:eastAsia="Calibri" w:hAnsi="Century Gothic" w:cs="Times New Roman"/>
          <w:iCs/>
          <w:color w:val="6E6E7C"/>
          <w:sz w:val="21"/>
          <w:szCs w:val="21"/>
          <w:lang w:eastAsia="es-EC"/>
        </w:rPr>
        <w:t>.</w:t>
      </w:r>
    </w:p>
    <w:p w14:paraId="11456BEF"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Art. 21.</w:t>
      </w:r>
      <w:r w:rsidR="00C87A8A" w:rsidRPr="00582936">
        <w:rPr>
          <w:rFonts w:ascii="Century Gothic" w:eastAsia="Calibri" w:hAnsi="Century Gothic" w:cs="Times New Roman"/>
          <w:iCs/>
          <w:color w:val="6E6E7C"/>
          <w:sz w:val="21"/>
          <w:szCs w:val="21"/>
          <w:lang w:eastAsia="es-EC"/>
        </w:rPr>
        <w:t>- “</w:t>
      </w:r>
      <w:r w:rsidRPr="00582936">
        <w:rPr>
          <w:rFonts w:ascii="Century Gothic" w:eastAsia="Calibri" w:hAnsi="Century Gothic" w:cs="Times New Roman"/>
          <w:iCs/>
          <w:color w:val="6E6E7C"/>
          <w:sz w:val="21"/>
          <w:szCs w:val="21"/>
          <w:lang w:eastAsia="es-EC"/>
        </w:rPr>
        <w:t>Los datos individuales que se obtengan para efecto de estadística y censos son de carácter reservado; en consecuencia, no podrán darse a conocer informaciones individuales de ninguna especie, ni podrán ser utilizados (…) para cualquier objeto distinto del propiamente estadístico o censal”</w:t>
      </w:r>
      <w:r w:rsidR="00B32E01">
        <w:rPr>
          <w:rFonts w:ascii="Century Gothic" w:eastAsia="Calibri" w:hAnsi="Century Gothic" w:cs="Times New Roman"/>
          <w:iCs/>
          <w:color w:val="6E6E7C"/>
          <w:sz w:val="21"/>
          <w:szCs w:val="21"/>
          <w:lang w:eastAsia="es-EC"/>
        </w:rPr>
        <w:t xml:space="preserve"> </w:t>
      </w:r>
      <w:sdt>
        <w:sdtPr>
          <w:rPr>
            <w:rFonts w:ascii="Century Gothic" w:eastAsia="Calibri" w:hAnsi="Century Gothic" w:cs="Times New Roman"/>
            <w:iCs/>
            <w:color w:val="6E6E7C"/>
            <w:sz w:val="21"/>
            <w:szCs w:val="21"/>
            <w:lang w:eastAsia="es-EC"/>
          </w:rPr>
          <w:id w:val="968933066"/>
          <w:citation/>
        </w:sdtPr>
        <w:sdtContent>
          <w:r w:rsidR="00B32E01">
            <w:rPr>
              <w:rFonts w:ascii="Century Gothic" w:eastAsia="Calibri" w:hAnsi="Century Gothic" w:cs="Times New Roman"/>
              <w:iCs/>
              <w:color w:val="6E6E7C"/>
              <w:sz w:val="21"/>
              <w:szCs w:val="21"/>
              <w:lang w:eastAsia="es-EC"/>
            </w:rPr>
            <w:fldChar w:fldCharType="begin"/>
          </w:r>
          <w:r w:rsidR="00B32E01">
            <w:rPr>
              <w:rFonts w:ascii="Century Gothic" w:eastAsia="Calibri" w:hAnsi="Century Gothic" w:cs="Times New Roman"/>
              <w:iCs/>
              <w:color w:val="6E6E7C"/>
              <w:sz w:val="21"/>
              <w:szCs w:val="21"/>
              <w:lang w:val="es-ES" w:eastAsia="es-EC"/>
            </w:rPr>
            <w:instrText xml:space="preserve"> CITATION Ley76 \l 3082 </w:instrText>
          </w:r>
          <w:r w:rsidR="00B32E01">
            <w:rPr>
              <w:rFonts w:ascii="Century Gothic" w:eastAsia="Calibri" w:hAnsi="Century Gothic" w:cs="Times New Roman"/>
              <w:iCs/>
              <w:color w:val="6E6E7C"/>
              <w:sz w:val="21"/>
              <w:szCs w:val="21"/>
              <w:lang w:eastAsia="es-EC"/>
            </w:rPr>
            <w:fldChar w:fldCharType="separate"/>
          </w:r>
          <w:r w:rsidR="006E6B3C" w:rsidRPr="006E6B3C">
            <w:rPr>
              <w:rFonts w:ascii="Century Gothic" w:eastAsia="Calibri" w:hAnsi="Century Gothic" w:cs="Times New Roman"/>
              <w:noProof/>
              <w:color w:val="6E6E7C"/>
              <w:sz w:val="21"/>
              <w:szCs w:val="21"/>
              <w:lang w:val="es-ES" w:eastAsia="es-EC"/>
            </w:rPr>
            <w:t>(Ley de Estadística, 1976)</w:t>
          </w:r>
          <w:r w:rsidR="00B32E01">
            <w:rPr>
              <w:rFonts w:ascii="Century Gothic" w:eastAsia="Calibri" w:hAnsi="Century Gothic" w:cs="Times New Roman"/>
              <w:iCs/>
              <w:color w:val="6E6E7C"/>
              <w:sz w:val="21"/>
              <w:szCs w:val="21"/>
              <w:lang w:eastAsia="es-EC"/>
            </w:rPr>
            <w:fldChar w:fldCharType="end"/>
          </w:r>
        </w:sdtContent>
      </w:sdt>
      <w:r w:rsidRPr="00582936">
        <w:rPr>
          <w:rFonts w:ascii="Century Gothic" w:eastAsia="Calibri" w:hAnsi="Century Gothic" w:cs="Times New Roman"/>
          <w:iCs/>
          <w:color w:val="6E6E7C"/>
          <w:sz w:val="21"/>
          <w:szCs w:val="21"/>
          <w:lang w:eastAsia="es-EC"/>
        </w:rPr>
        <w:t>.</w:t>
      </w:r>
    </w:p>
    <w:p w14:paraId="2F4A5D88"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Así mismo, las sanciones que se aplicarán a la persona que no se encuentre dispuesta a proporcionar se encuentran apalancadas bajo el Art. 22.- “Toda persona que suministrare datos o informaciones falsas, o no los entregare en su oportunidad, será sancionada por el Juez de Contravenciones, con prisión de uno a siete días, o multa de diez a veinte remuneraciones básicas unificadas,</w:t>
      </w:r>
      <w:r w:rsidR="00B32E01">
        <w:rPr>
          <w:rFonts w:ascii="Century Gothic" w:eastAsia="Calibri" w:hAnsi="Century Gothic" w:cs="Times New Roman"/>
          <w:iCs/>
          <w:color w:val="6E6E7C"/>
          <w:sz w:val="21"/>
          <w:szCs w:val="21"/>
          <w:lang w:eastAsia="es-EC"/>
        </w:rPr>
        <w:t xml:space="preserve"> previo juzgamiento del hecho” </w:t>
      </w:r>
      <w:sdt>
        <w:sdtPr>
          <w:rPr>
            <w:rFonts w:ascii="Century Gothic" w:eastAsia="Calibri" w:hAnsi="Century Gothic" w:cs="Times New Roman"/>
            <w:iCs/>
            <w:color w:val="6E6E7C"/>
            <w:sz w:val="21"/>
            <w:szCs w:val="21"/>
            <w:lang w:eastAsia="es-EC"/>
          </w:rPr>
          <w:id w:val="-1917934398"/>
          <w:citation/>
        </w:sdtPr>
        <w:sdtContent>
          <w:r w:rsidR="00B32E01">
            <w:rPr>
              <w:rFonts w:ascii="Century Gothic" w:eastAsia="Calibri" w:hAnsi="Century Gothic" w:cs="Times New Roman"/>
              <w:iCs/>
              <w:color w:val="6E6E7C"/>
              <w:sz w:val="21"/>
              <w:szCs w:val="21"/>
              <w:lang w:eastAsia="es-EC"/>
            </w:rPr>
            <w:fldChar w:fldCharType="begin"/>
          </w:r>
          <w:r w:rsidR="00B32E01">
            <w:rPr>
              <w:rFonts w:ascii="Century Gothic" w:eastAsia="Calibri" w:hAnsi="Century Gothic" w:cs="Times New Roman"/>
              <w:iCs/>
              <w:color w:val="6E6E7C"/>
              <w:sz w:val="21"/>
              <w:szCs w:val="21"/>
              <w:lang w:val="es-ES" w:eastAsia="es-EC"/>
            </w:rPr>
            <w:instrText xml:space="preserve"> CITATION Ley76 \l 3082 </w:instrText>
          </w:r>
          <w:r w:rsidR="00B32E01">
            <w:rPr>
              <w:rFonts w:ascii="Century Gothic" w:eastAsia="Calibri" w:hAnsi="Century Gothic" w:cs="Times New Roman"/>
              <w:iCs/>
              <w:color w:val="6E6E7C"/>
              <w:sz w:val="21"/>
              <w:szCs w:val="21"/>
              <w:lang w:eastAsia="es-EC"/>
            </w:rPr>
            <w:fldChar w:fldCharType="separate"/>
          </w:r>
          <w:r w:rsidR="006E6B3C" w:rsidRPr="006E6B3C">
            <w:rPr>
              <w:rFonts w:ascii="Century Gothic" w:eastAsia="Calibri" w:hAnsi="Century Gothic" w:cs="Times New Roman"/>
              <w:noProof/>
              <w:color w:val="6E6E7C"/>
              <w:sz w:val="21"/>
              <w:szCs w:val="21"/>
              <w:lang w:val="es-ES" w:eastAsia="es-EC"/>
            </w:rPr>
            <w:t>(Ley de Estadística, 1976)</w:t>
          </w:r>
          <w:r w:rsidR="00B32E01">
            <w:rPr>
              <w:rFonts w:ascii="Century Gothic" w:eastAsia="Calibri" w:hAnsi="Century Gothic" w:cs="Times New Roman"/>
              <w:iCs/>
              <w:color w:val="6E6E7C"/>
              <w:sz w:val="21"/>
              <w:szCs w:val="21"/>
              <w:lang w:eastAsia="es-EC"/>
            </w:rPr>
            <w:fldChar w:fldCharType="end"/>
          </w:r>
        </w:sdtContent>
      </w:sdt>
      <w:r w:rsidR="00B32E01">
        <w:rPr>
          <w:rFonts w:ascii="Century Gothic" w:eastAsia="Calibri" w:hAnsi="Century Gothic" w:cs="Times New Roman"/>
          <w:iCs/>
          <w:color w:val="6E6E7C"/>
          <w:sz w:val="21"/>
          <w:szCs w:val="21"/>
          <w:lang w:eastAsia="es-EC"/>
        </w:rPr>
        <w:t>.</w:t>
      </w:r>
    </w:p>
    <w:p w14:paraId="52F2FC9A" w14:textId="77777777" w:rsidR="006A74FA" w:rsidRPr="00BD0CD2" w:rsidRDefault="006A74FA" w:rsidP="006A74FA">
      <w:pPr>
        <w:pStyle w:val="Ttulo2"/>
        <w:numPr>
          <w:ilvl w:val="1"/>
          <w:numId w:val="1"/>
        </w:numPr>
        <w:spacing w:before="0" w:line="276" w:lineRule="auto"/>
        <w:jc w:val="both"/>
        <w:rPr>
          <w:rFonts w:eastAsiaTheme="minorHAnsi" w:cstheme="minorBidi"/>
          <w:bCs/>
          <w:color w:val="6E6E7C"/>
          <w:sz w:val="28"/>
          <w:szCs w:val="44"/>
        </w:rPr>
      </w:pPr>
      <w:bookmarkStart w:id="53" w:name="_Toc126657977"/>
      <w:bookmarkStart w:id="54" w:name="_Toc148617328"/>
      <w:bookmarkStart w:id="55" w:name="_Toc161322540"/>
      <w:r w:rsidRPr="00BD0CD2">
        <w:rPr>
          <w:rFonts w:eastAsiaTheme="minorHAnsi" w:cstheme="minorBidi"/>
          <w:bCs/>
          <w:color w:val="6E6E7C"/>
          <w:sz w:val="28"/>
          <w:szCs w:val="44"/>
        </w:rPr>
        <w:lastRenderedPageBreak/>
        <w:t>Verificación y contraste de la disponibilidad de la información en fuentes oficiales</w:t>
      </w:r>
      <w:bookmarkEnd w:id="53"/>
      <w:bookmarkEnd w:id="54"/>
      <w:bookmarkEnd w:id="55"/>
    </w:p>
    <w:p w14:paraId="4ED183C0"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Tras los análisis realizados a cada una de las operaciones que integran el inventario de operaciones estadísticas</w:t>
      </w:r>
      <w:r>
        <w:rPr>
          <w:rFonts w:ascii="Century Gothic" w:eastAsia="Calibri" w:hAnsi="Century Gothic" w:cs="Times New Roman"/>
          <w:iCs/>
          <w:color w:val="6E6E7C"/>
          <w:sz w:val="21"/>
          <w:szCs w:val="21"/>
        </w:rPr>
        <w:t>,</w:t>
      </w:r>
      <w:r w:rsidRPr="00582936">
        <w:rPr>
          <w:rFonts w:ascii="Century Gothic" w:eastAsia="Calibri" w:hAnsi="Century Gothic" w:cs="Times New Roman"/>
          <w:iCs/>
          <w:color w:val="6E6E7C"/>
          <w:sz w:val="21"/>
          <w:szCs w:val="21"/>
        </w:rPr>
        <w:t xml:space="preserve"> se logró determinar que efectivamente no existen otras fuentes de información que ofrezcan toda la información y las temáticas de alcance que posee la Encuesta Estructural Empresarial (ENESEM). Si bien es cierto existen operaciones direccionadas a la misma unidad de investigación “Empresas”, </w:t>
      </w:r>
      <w:r w:rsidR="00FF28A3">
        <w:rPr>
          <w:rFonts w:ascii="Century Gothic" w:eastAsia="Calibri" w:hAnsi="Century Gothic" w:cs="Times New Roman"/>
          <w:iCs/>
          <w:color w:val="6E6E7C"/>
          <w:sz w:val="21"/>
          <w:szCs w:val="21"/>
        </w:rPr>
        <w:t xml:space="preserve">éstas </w:t>
      </w:r>
      <w:r w:rsidRPr="00582936">
        <w:rPr>
          <w:rFonts w:ascii="Century Gothic" w:eastAsia="Calibri" w:hAnsi="Century Gothic" w:cs="Times New Roman"/>
          <w:iCs/>
          <w:color w:val="6E6E7C"/>
          <w:sz w:val="21"/>
          <w:szCs w:val="21"/>
        </w:rPr>
        <w:t xml:space="preserve">no presentan la desagregación necesaria para cumplir la demanda de información </w:t>
      </w:r>
      <w:r w:rsidR="00C108CE">
        <w:rPr>
          <w:rFonts w:ascii="Century Gothic" w:eastAsia="Calibri" w:hAnsi="Century Gothic" w:cs="Times New Roman"/>
          <w:iCs/>
          <w:color w:val="6E6E7C"/>
          <w:sz w:val="21"/>
          <w:szCs w:val="21"/>
        </w:rPr>
        <w:t>requerida por los usuario especializados.</w:t>
      </w:r>
    </w:p>
    <w:p w14:paraId="56B8347D" w14:textId="77777777" w:rsidR="00BD2C91" w:rsidRDefault="006A74FA" w:rsidP="006A74FA">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Entre las operaciones estadísticas </w:t>
      </w:r>
      <w:r w:rsidR="00636317">
        <w:rPr>
          <w:rFonts w:ascii="Century Gothic" w:eastAsia="Calibri" w:hAnsi="Century Gothic" w:cs="Times New Roman"/>
          <w:iCs/>
          <w:color w:val="6E6E7C"/>
          <w:sz w:val="21"/>
          <w:szCs w:val="21"/>
        </w:rPr>
        <w:t>que</w:t>
      </w:r>
      <w:r w:rsidRPr="00582936">
        <w:rPr>
          <w:rFonts w:ascii="Century Gothic" w:eastAsia="Calibri" w:hAnsi="Century Gothic" w:cs="Times New Roman"/>
          <w:iCs/>
          <w:color w:val="6E6E7C"/>
          <w:sz w:val="21"/>
          <w:szCs w:val="21"/>
        </w:rPr>
        <w:t xml:space="preserve"> ofertan info</w:t>
      </w:r>
      <w:r w:rsidR="00636317">
        <w:rPr>
          <w:rFonts w:ascii="Century Gothic" w:eastAsia="Calibri" w:hAnsi="Century Gothic" w:cs="Times New Roman"/>
          <w:iCs/>
          <w:color w:val="6E6E7C"/>
          <w:sz w:val="21"/>
          <w:szCs w:val="21"/>
        </w:rPr>
        <w:t xml:space="preserve">rmación estadística de empresas, </w:t>
      </w:r>
      <w:r w:rsidRPr="00582936">
        <w:rPr>
          <w:rFonts w:ascii="Century Gothic" w:eastAsia="Calibri" w:hAnsi="Century Gothic" w:cs="Times New Roman"/>
          <w:iCs/>
          <w:color w:val="6E6E7C"/>
          <w:sz w:val="21"/>
          <w:szCs w:val="21"/>
        </w:rPr>
        <w:t>son las siguientes:</w:t>
      </w:r>
    </w:p>
    <w:p w14:paraId="73C29425" w14:textId="77777777" w:rsidR="00BD2C91" w:rsidRPr="00BD2C91" w:rsidRDefault="00BD2C91" w:rsidP="00BD2C91">
      <w:pPr>
        <w:spacing w:line="276" w:lineRule="auto"/>
        <w:jc w:val="center"/>
        <w:rPr>
          <w:rFonts w:ascii="Century Gothic" w:eastAsia="Calibri" w:hAnsi="Century Gothic" w:cs="Times New Roman"/>
          <w:iCs/>
          <w:color w:val="6E6E7C"/>
          <w:sz w:val="18"/>
          <w:szCs w:val="18"/>
        </w:rPr>
      </w:pPr>
      <w:bookmarkStart w:id="56" w:name="_Toc161322598"/>
      <w:r w:rsidRPr="00582936">
        <w:rPr>
          <w:rFonts w:ascii="Century Gothic" w:eastAsia="Calibri" w:hAnsi="Century Gothic" w:cs="Times New Roman"/>
          <w:b/>
          <w:bCs/>
          <w:iCs/>
          <w:color w:val="6E6E7C"/>
          <w:sz w:val="18"/>
          <w:szCs w:val="18"/>
        </w:rPr>
        <w:t xml:space="preserve">Tabla </w:t>
      </w:r>
      <w:r w:rsidRPr="00582936">
        <w:rPr>
          <w:rFonts w:ascii="Century Gothic" w:eastAsia="Calibri" w:hAnsi="Century Gothic" w:cs="Times New Roman"/>
          <w:b/>
          <w:bCs/>
          <w:iCs/>
          <w:color w:val="6E6E7C"/>
          <w:sz w:val="18"/>
          <w:szCs w:val="18"/>
        </w:rPr>
        <w:fldChar w:fldCharType="begin"/>
      </w:r>
      <w:r w:rsidRPr="00582936">
        <w:rPr>
          <w:rFonts w:ascii="Century Gothic" w:eastAsia="Calibri" w:hAnsi="Century Gothic" w:cs="Times New Roman"/>
          <w:b/>
          <w:bCs/>
          <w:iCs/>
          <w:color w:val="6E6E7C"/>
          <w:sz w:val="18"/>
          <w:szCs w:val="18"/>
        </w:rPr>
        <w:instrText xml:space="preserve"> SEQ Tabla \* ARABIC </w:instrText>
      </w:r>
      <w:r w:rsidRPr="00582936">
        <w:rPr>
          <w:rFonts w:ascii="Century Gothic" w:eastAsia="Calibri" w:hAnsi="Century Gothic" w:cs="Times New Roman"/>
          <w:b/>
          <w:bCs/>
          <w:iCs/>
          <w:color w:val="6E6E7C"/>
          <w:sz w:val="18"/>
          <w:szCs w:val="18"/>
        </w:rPr>
        <w:fldChar w:fldCharType="separate"/>
      </w:r>
      <w:r w:rsidR="00CF3585">
        <w:rPr>
          <w:rFonts w:ascii="Century Gothic" w:eastAsia="Calibri" w:hAnsi="Century Gothic" w:cs="Times New Roman"/>
          <w:b/>
          <w:bCs/>
          <w:iCs/>
          <w:noProof/>
          <w:color w:val="6E6E7C"/>
          <w:sz w:val="18"/>
          <w:szCs w:val="18"/>
        </w:rPr>
        <w:t>4</w:t>
      </w:r>
      <w:r w:rsidRPr="00582936">
        <w:rPr>
          <w:rFonts w:ascii="Century Gothic" w:eastAsia="Calibri" w:hAnsi="Century Gothic" w:cs="Times New Roman"/>
          <w:b/>
          <w:bCs/>
          <w:iCs/>
          <w:color w:val="6E6E7C"/>
          <w:sz w:val="18"/>
          <w:szCs w:val="18"/>
        </w:rPr>
        <w:fldChar w:fldCharType="end"/>
      </w:r>
      <w:r w:rsidRPr="00582936">
        <w:rPr>
          <w:rFonts w:ascii="Century Gothic" w:eastAsia="Calibri" w:hAnsi="Century Gothic" w:cs="Times New Roman"/>
          <w:b/>
          <w:bCs/>
          <w:iCs/>
          <w:color w:val="6E6E7C"/>
          <w:sz w:val="18"/>
          <w:szCs w:val="18"/>
        </w:rPr>
        <w:t>.</w:t>
      </w:r>
      <w:r w:rsidRPr="00582936">
        <w:rPr>
          <w:rFonts w:ascii="Century Gothic" w:eastAsia="Calibri" w:hAnsi="Century Gothic" w:cs="Times New Roman"/>
          <w:iCs/>
          <w:color w:val="6E6E7C"/>
          <w:sz w:val="18"/>
          <w:szCs w:val="18"/>
        </w:rPr>
        <w:t xml:space="preserve"> Operaciones estadísticas que ofertan información estadística de empresas</w:t>
      </w:r>
      <w:bookmarkEnd w:id="56"/>
    </w:p>
    <w:tbl>
      <w:tblPr>
        <w:tblpPr w:leftFromText="141" w:rightFromText="141" w:vertAnchor="text" w:horzAnchor="margin" w:tblpXSpec="right" w:tblpY="242"/>
        <w:tblW w:w="7792" w:type="dxa"/>
        <w:tblCellMar>
          <w:left w:w="70" w:type="dxa"/>
          <w:right w:w="70" w:type="dxa"/>
        </w:tblCellMar>
        <w:tblLook w:val="04A0" w:firstRow="1" w:lastRow="0" w:firstColumn="1" w:lastColumn="0" w:noHBand="0" w:noVBand="1"/>
      </w:tblPr>
      <w:tblGrid>
        <w:gridCol w:w="2049"/>
        <w:gridCol w:w="1482"/>
        <w:gridCol w:w="2850"/>
        <w:gridCol w:w="1411"/>
      </w:tblGrid>
      <w:tr w:rsidR="00BD2C91" w:rsidRPr="009063BE" w14:paraId="0DA558DF" w14:textId="77777777" w:rsidTr="00460317">
        <w:trPr>
          <w:trHeight w:val="272"/>
        </w:trPr>
        <w:tc>
          <w:tcPr>
            <w:tcW w:w="2049" w:type="dxa"/>
            <w:tcBorders>
              <w:top w:val="single" w:sz="4" w:space="0" w:color="auto"/>
              <w:left w:val="single" w:sz="4" w:space="0" w:color="auto"/>
              <w:bottom w:val="single" w:sz="4" w:space="0" w:color="auto"/>
              <w:right w:val="single" w:sz="4" w:space="0" w:color="auto"/>
            </w:tcBorders>
            <w:shd w:val="clear" w:color="auto" w:fill="4266CE"/>
            <w:vAlign w:val="center"/>
            <w:hideMark/>
          </w:tcPr>
          <w:p w14:paraId="0ABA4F7F" w14:textId="77777777" w:rsidR="00BD2C91" w:rsidRPr="00460317" w:rsidRDefault="00BD2C91" w:rsidP="00BD2C91">
            <w:pPr>
              <w:jc w:val="center"/>
              <w:rPr>
                <w:rFonts w:ascii="Century Gothic" w:eastAsia="Times New Roman" w:hAnsi="Century Gothic" w:cs="Calibri"/>
                <w:b/>
                <w:bCs/>
                <w:color w:val="FFFFFF" w:themeColor="background1"/>
                <w:sz w:val="16"/>
                <w:szCs w:val="16"/>
                <w:lang w:eastAsia="es-EC"/>
              </w:rPr>
            </w:pPr>
            <w:bookmarkStart w:id="57" w:name="_Toc157006967"/>
            <w:bookmarkStart w:id="58" w:name="_Toc157368483"/>
            <w:bookmarkStart w:id="59" w:name="_Toc157585779"/>
            <w:bookmarkStart w:id="60" w:name="_Toc157671116"/>
            <w:bookmarkStart w:id="61" w:name="_Toc158206882"/>
            <w:r w:rsidRPr="00460317">
              <w:rPr>
                <w:rFonts w:ascii="Century Gothic" w:eastAsia="Times New Roman" w:hAnsi="Century Gothic" w:cs="Calibri"/>
                <w:b/>
                <w:bCs/>
                <w:color w:val="FFFFFF" w:themeColor="background1"/>
                <w:sz w:val="16"/>
                <w:szCs w:val="16"/>
                <w:lang w:eastAsia="es-EC"/>
              </w:rPr>
              <w:t>Nombre de operaciones estadísticas</w:t>
            </w:r>
          </w:p>
        </w:tc>
        <w:tc>
          <w:tcPr>
            <w:tcW w:w="1482" w:type="dxa"/>
            <w:tcBorders>
              <w:top w:val="single" w:sz="4" w:space="0" w:color="auto"/>
              <w:left w:val="nil"/>
              <w:bottom w:val="single" w:sz="4" w:space="0" w:color="auto"/>
              <w:right w:val="single" w:sz="4" w:space="0" w:color="auto"/>
            </w:tcBorders>
            <w:shd w:val="clear" w:color="auto" w:fill="4266CE"/>
            <w:vAlign w:val="center"/>
            <w:hideMark/>
          </w:tcPr>
          <w:p w14:paraId="28887EF3" w14:textId="77777777" w:rsidR="00BD2C91" w:rsidRPr="00460317" w:rsidRDefault="00BD2C91" w:rsidP="00BD2C91">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Institución productora</w:t>
            </w:r>
          </w:p>
        </w:tc>
        <w:tc>
          <w:tcPr>
            <w:tcW w:w="2850" w:type="dxa"/>
            <w:tcBorders>
              <w:top w:val="single" w:sz="4" w:space="0" w:color="auto"/>
              <w:left w:val="nil"/>
              <w:bottom w:val="single" w:sz="4" w:space="0" w:color="auto"/>
              <w:right w:val="single" w:sz="4" w:space="0" w:color="auto"/>
            </w:tcBorders>
            <w:shd w:val="clear" w:color="auto" w:fill="4266CE"/>
            <w:vAlign w:val="center"/>
            <w:hideMark/>
          </w:tcPr>
          <w:p w14:paraId="177AF284" w14:textId="77777777" w:rsidR="00BD2C91" w:rsidRPr="00460317" w:rsidRDefault="00BD2C91" w:rsidP="00BD2C91">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Unidad de análisis/tema</w:t>
            </w:r>
          </w:p>
        </w:tc>
        <w:tc>
          <w:tcPr>
            <w:tcW w:w="1411" w:type="dxa"/>
            <w:tcBorders>
              <w:top w:val="single" w:sz="4" w:space="0" w:color="auto"/>
              <w:left w:val="nil"/>
              <w:bottom w:val="single" w:sz="4" w:space="0" w:color="auto"/>
              <w:right w:val="single" w:sz="4" w:space="0" w:color="auto"/>
            </w:tcBorders>
            <w:shd w:val="clear" w:color="auto" w:fill="4266CE"/>
            <w:vAlign w:val="center"/>
          </w:tcPr>
          <w:p w14:paraId="62B67B4E" w14:textId="77777777" w:rsidR="00BD2C91" w:rsidRPr="00460317" w:rsidRDefault="00BD2C91" w:rsidP="00BD2C91">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Ultimo año de actualización</w:t>
            </w:r>
          </w:p>
        </w:tc>
      </w:tr>
      <w:tr w:rsidR="00BD2C91" w:rsidRPr="009063BE" w14:paraId="3FDD7D17" w14:textId="77777777" w:rsidTr="00BD2C91">
        <w:trPr>
          <w:trHeight w:val="160"/>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1B4F2E51"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Registro Estadístico de Empresas - REEM</w:t>
            </w:r>
          </w:p>
        </w:tc>
        <w:tc>
          <w:tcPr>
            <w:tcW w:w="1482" w:type="dxa"/>
            <w:tcBorders>
              <w:top w:val="nil"/>
              <w:left w:val="nil"/>
              <w:bottom w:val="single" w:sz="4" w:space="0" w:color="auto"/>
              <w:right w:val="single" w:sz="4" w:space="0" w:color="auto"/>
            </w:tcBorders>
            <w:shd w:val="clear" w:color="auto" w:fill="auto"/>
            <w:vAlign w:val="center"/>
            <w:hideMark/>
          </w:tcPr>
          <w:p w14:paraId="47B0A1F5"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INEC</w:t>
            </w:r>
          </w:p>
        </w:tc>
        <w:tc>
          <w:tcPr>
            <w:tcW w:w="2850" w:type="dxa"/>
            <w:tcBorders>
              <w:top w:val="nil"/>
              <w:left w:val="nil"/>
              <w:bottom w:val="single" w:sz="4" w:space="0" w:color="auto"/>
              <w:right w:val="single" w:sz="4" w:space="0" w:color="auto"/>
            </w:tcBorders>
            <w:shd w:val="clear" w:color="auto" w:fill="auto"/>
            <w:vAlign w:val="center"/>
            <w:hideMark/>
          </w:tcPr>
          <w:p w14:paraId="5E42073F"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Estadísticas de las empresas</w:t>
            </w:r>
          </w:p>
        </w:tc>
        <w:tc>
          <w:tcPr>
            <w:tcW w:w="1411" w:type="dxa"/>
            <w:tcBorders>
              <w:top w:val="nil"/>
              <w:left w:val="nil"/>
              <w:bottom w:val="single" w:sz="4" w:space="0" w:color="auto"/>
              <w:right w:val="single" w:sz="4" w:space="0" w:color="auto"/>
            </w:tcBorders>
            <w:vAlign w:val="center"/>
          </w:tcPr>
          <w:p w14:paraId="261CF486"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2022</w:t>
            </w:r>
          </w:p>
        </w:tc>
      </w:tr>
      <w:tr w:rsidR="00BD2C91" w:rsidRPr="009063BE" w14:paraId="2E3D86E5" w14:textId="77777777" w:rsidTr="00BD2C91">
        <w:trPr>
          <w:trHeight w:val="482"/>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2F14AEFA"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Información Económica Ambiental en Empresas</w:t>
            </w:r>
          </w:p>
        </w:tc>
        <w:tc>
          <w:tcPr>
            <w:tcW w:w="1482" w:type="dxa"/>
            <w:tcBorders>
              <w:top w:val="nil"/>
              <w:left w:val="nil"/>
              <w:bottom w:val="single" w:sz="4" w:space="0" w:color="auto"/>
              <w:right w:val="single" w:sz="4" w:space="0" w:color="auto"/>
            </w:tcBorders>
            <w:shd w:val="clear" w:color="auto" w:fill="auto"/>
            <w:vAlign w:val="center"/>
            <w:hideMark/>
          </w:tcPr>
          <w:p w14:paraId="47897B92"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INEC</w:t>
            </w:r>
          </w:p>
        </w:tc>
        <w:tc>
          <w:tcPr>
            <w:tcW w:w="2850" w:type="dxa"/>
            <w:tcBorders>
              <w:top w:val="nil"/>
              <w:left w:val="nil"/>
              <w:bottom w:val="single" w:sz="4" w:space="0" w:color="auto"/>
              <w:right w:val="single" w:sz="4" w:space="0" w:color="auto"/>
            </w:tcBorders>
            <w:shd w:val="clear" w:color="auto" w:fill="auto"/>
            <w:vAlign w:val="center"/>
            <w:hideMark/>
          </w:tcPr>
          <w:p w14:paraId="00566636"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Empresas</w:t>
            </w:r>
          </w:p>
        </w:tc>
        <w:tc>
          <w:tcPr>
            <w:tcW w:w="1411" w:type="dxa"/>
            <w:tcBorders>
              <w:top w:val="nil"/>
              <w:left w:val="nil"/>
              <w:bottom w:val="single" w:sz="4" w:space="0" w:color="auto"/>
              <w:right w:val="single" w:sz="4" w:space="0" w:color="auto"/>
            </w:tcBorders>
            <w:vAlign w:val="center"/>
          </w:tcPr>
          <w:p w14:paraId="0D9BD4C0"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2021</w:t>
            </w:r>
          </w:p>
        </w:tc>
      </w:tr>
      <w:tr w:rsidR="00BD2C91" w:rsidRPr="009063BE" w14:paraId="7EFF97C2" w14:textId="77777777" w:rsidTr="00BD2C91">
        <w:trPr>
          <w:trHeight w:val="432"/>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096CC96E"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 Satélite de Salud (CSS)</w:t>
            </w:r>
          </w:p>
        </w:tc>
        <w:tc>
          <w:tcPr>
            <w:tcW w:w="1482" w:type="dxa"/>
            <w:tcBorders>
              <w:top w:val="nil"/>
              <w:left w:val="nil"/>
              <w:bottom w:val="single" w:sz="4" w:space="0" w:color="auto"/>
              <w:right w:val="single" w:sz="4" w:space="0" w:color="auto"/>
            </w:tcBorders>
            <w:shd w:val="clear" w:color="auto" w:fill="auto"/>
            <w:vAlign w:val="center"/>
            <w:hideMark/>
          </w:tcPr>
          <w:p w14:paraId="2D783C88"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INEC</w:t>
            </w:r>
          </w:p>
        </w:tc>
        <w:tc>
          <w:tcPr>
            <w:tcW w:w="2850" w:type="dxa"/>
            <w:tcBorders>
              <w:top w:val="nil"/>
              <w:left w:val="nil"/>
              <w:bottom w:val="single" w:sz="4" w:space="0" w:color="auto"/>
              <w:right w:val="single" w:sz="4" w:space="0" w:color="auto"/>
            </w:tcBorders>
            <w:shd w:val="clear" w:color="auto" w:fill="auto"/>
            <w:vAlign w:val="center"/>
            <w:hideMark/>
          </w:tcPr>
          <w:p w14:paraId="78B6F064"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Empresas e instituciones públicas y privadas relacionadas con el ámbito de la salud.</w:t>
            </w:r>
          </w:p>
        </w:tc>
        <w:tc>
          <w:tcPr>
            <w:tcW w:w="1411" w:type="dxa"/>
            <w:tcBorders>
              <w:top w:val="nil"/>
              <w:left w:val="nil"/>
              <w:bottom w:val="single" w:sz="4" w:space="0" w:color="auto"/>
              <w:right w:val="single" w:sz="4" w:space="0" w:color="auto"/>
            </w:tcBorders>
            <w:vAlign w:val="center"/>
          </w:tcPr>
          <w:p w14:paraId="1D311501"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2022</w:t>
            </w:r>
          </w:p>
        </w:tc>
      </w:tr>
      <w:tr w:rsidR="00BD2C91" w:rsidRPr="009063BE" w14:paraId="4D6973EF" w14:textId="77777777" w:rsidTr="00BD2C91">
        <w:trPr>
          <w:trHeight w:val="576"/>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2E6DE9DC"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Satélite de Educación (CSE)</w:t>
            </w:r>
          </w:p>
        </w:tc>
        <w:tc>
          <w:tcPr>
            <w:tcW w:w="1482" w:type="dxa"/>
            <w:tcBorders>
              <w:top w:val="nil"/>
              <w:left w:val="nil"/>
              <w:bottom w:val="single" w:sz="4" w:space="0" w:color="auto"/>
              <w:right w:val="single" w:sz="4" w:space="0" w:color="auto"/>
            </w:tcBorders>
            <w:shd w:val="clear" w:color="auto" w:fill="auto"/>
            <w:vAlign w:val="center"/>
            <w:hideMark/>
          </w:tcPr>
          <w:p w14:paraId="49B1647A"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INEC</w:t>
            </w:r>
          </w:p>
        </w:tc>
        <w:tc>
          <w:tcPr>
            <w:tcW w:w="2850" w:type="dxa"/>
            <w:tcBorders>
              <w:top w:val="nil"/>
              <w:left w:val="nil"/>
              <w:bottom w:val="single" w:sz="4" w:space="0" w:color="auto"/>
              <w:right w:val="single" w:sz="4" w:space="0" w:color="auto"/>
            </w:tcBorders>
            <w:shd w:val="clear" w:color="auto" w:fill="auto"/>
            <w:vAlign w:val="center"/>
            <w:hideMark/>
          </w:tcPr>
          <w:p w14:paraId="35688811"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Instituciones educativas públicas y privadas y empresas que proveen servicios conexos a la educación.</w:t>
            </w:r>
          </w:p>
        </w:tc>
        <w:tc>
          <w:tcPr>
            <w:tcW w:w="1411" w:type="dxa"/>
            <w:tcBorders>
              <w:top w:val="nil"/>
              <w:left w:val="nil"/>
              <w:bottom w:val="single" w:sz="4" w:space="0" w:color="auto"/>
              <w:right w:val="single" w:sz="4" w:space="0" w:color="auto"/>
            </w:tcBorders>
            <w:vAlign w:val="center"/>
          </w:tcPr>
          <w:p w14:paraId="0638D5A9"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2022</w:t>
            </w:r>
          </w:p>
        </w:tc>
      </w:tr>
      <w:tr w:rsidR="00BD2C91" w:rsidRPr="009063BE" w14:paraId="311AF664" w14:textId="77777777" w:rsidTr="00BD2C91">
        <w:trPr>
          <w:trHeight w:val="288"/>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619172DC"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Encuesta de Manufactura y Minería</w:t>
            </w:r>
          </w:p>
        </w:tc>
        <w:tc>
          <w:tcPr>
            <w:tcW w:w="1482" w:type="dxa"/>
            <w:tcBorders>
              <w:top w:val="nil"/>
              <w:left w:val="nil"/>
              <w:bottom w:val="single" w:sz="4" w:space="0" w:color="auto"/>
              <w:right w:val="single" w:sz="4" w:space="0" w:color="auto"/>
            </w:tcBorders>
            <w:shd w:val="clear" w:color="auto" w:fill="auto"/>
            <w:vAlign w:val="center"/>
            <w:hideMark/>
          </w:tcPr>
          <w:p w14:paraId="23F0565D"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INEC</w:t>
            </w:r>
          </w:p>
        </w:tc>
        <w:tc>
          <w:tcPr>
            <w:tcW w:w="2850" w:type="dxa"/>
            <w:tcBorders>
              <w:top w:val="nil"/>
              <w:left w:val="nil"/>
              <w:bottom w:val="single" w:sz="4" w:space="0" w:color="auto"/>
              <w:right w:val="single" w:sz="4" w:space="0" w:color="auto"/>
            </w:tcBorders>
            <w:shd w:val="clear" w:color="auto" w:fill="auto"/>
            <w:vAlign w:val="center"/>
            <w:hideMark/>
          </w:tcPr>
          <w:p w14:paraId="562DEB9A"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Empresas</w:t>
            </w:r>
          </w:p>
        </w:tc>
        <w:tc>
          <w:tcPr>
            <w:tcW w:w="1411" w:type="dxa"/>
            <w:tcBorders>
              <w:top w:val="nil"/>
              <w:left w:val="nil"/>
              <w:bottom w:val="single" w:sz="4" w:space="0" w:color="auto"/>
              <w:right w:val="single" w:sz="4" w:space="0" w:color="auto"/>
            </w:tcBorders>
            <w:vAlign w:val="center"/>
          </w:tcPr>
          <w:p w14:paraId="3AB4472A"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2010</w:t>
            </w:r>
          </w:p>
        </w:tc>
      </w:tr>
      <w:tr w:rsidR="00BD2C91" w:rsidRPr="009063BE" w14:paraId="5570F62E" w14:textId="77777777" w:rsidTr="00BD2C91">
        <w:trPr>
          <w:trHeight w:val="382"/>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726B35E3"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Encuesta de Comercio Interno</w:t>
            </w:r>
          </w:p>
        </w:tc>
        <w:tc>
          <w:tcPr>
            <w:tcW w:w="1482" w:type="dxa"/>
            <w:tcBorders>
              <w:top w:val="nil"/>
              <w:left w:val="nil"/>
              <w:bottom w:val="single" w:sz="4" w:space="0" w:color="auto"/>
              <w:right w:val="single" w:sz="4" w:space="0" w:color="auto"/>
            </w:tcBorders>
            <w:shd w:val="clear" w:color="auto" w:fill="auto"/>
            <w:vAlign w:val="center"/>
            <w:hideMark/>
          </w:tcPr>
          <w:p w14:paraId="15FF4452"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INEC</w:t>
            </w:r>
          </w:p>
        </w:tc>
        <w:tc>
          <w:tcPr>
            <w:tcW w:w="2850" w:type="dxa"/>
            <w:tcBorders>
              <w:top w:val="nil"/>
              <w:left w:val="nil"/>
              <w:bottom w:val="single" w:sz="4" w:space="0" w:color="auto"/>
              <w:right w:val="single" w:sz="4" w:space="0" w:color="auto"/>
            </w:tcBorders>
            <w:shd w:val="clear" w:color="auto" w:fill="auto"/>
            <w:vAlign w:val="center"/>
            <w:hideMark/>
          </w:tcPr>
          <w:p w14:paraId="7CECC531"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Empresas</w:t>
            </w:r>
          </w:p>
        </w:tc>
        <w:tc>
          <w:tcPr>
            <w:tcW w:w="1411" w:type="dxa"/>
            <w:tcBorders>
              <w:top w:val="nil"/>
              <w:left w:val="nil"/>
              <w:bottom w:val="single" w:sz="4" w:space="0" w:color="auto"/>
              <w:right w:val="single" w:sz="4" w:space="0" w:color="auto"/>
            </w:tcBorders>
            <w:vAlign w:val="center"/>
          </w:tcPr>
          <w:p w14:paraId="2255ECFA"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2010</w:t>
            </w:r>
          </w:p>
        </w:tc>
      </w:tr>
      <w:tr w:rsidR="00BD2C91" w:rsidRPr="009063BE" w14:paraId="28586188" w14:textId="77777777" w:rsidTr="00BD2C91">
        <w:trPr>
          <w:trHeight w:val="558"/>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69A127DD"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Encuesta de Hoteles, Restaurantes y Servicios</w:t>
            </w:r>
          </w:p>
        </w:tc>
        <w:tc>
          <w:tcPr>
            <w:tcW w:w="1482" w:type="dxa"/>
            <w:tcBorders>
              <w:top w:val="nil"/>
              <w:left w:val="nil"/>
              <w:bottom w:val="single" w:sz="4" w:space="0" w:color="auto"/>
              <w:right w:val="single" w:sz="4" w:space="0" w:color="auto"/>
            </w:tcBorders>
            <w:shd w:val="clear" w:color="auto" w:fill="auto"/>
            <w:vAlign w:val="center"/>
            <w:hideMark/>
          </w:tcPr>
          <w:p w14:paraId="66832B5D"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INEC</w:t>
            </w:r>
          </w:p>
        </w:tc>
        <w:tc>
          <w:tcPr>
            <w:tcW w:w="2850" w:type="dxa"/>
            <w:tcBorders>
              <w:top w:val="nil"/>
              <w:left w:val="nil"/>
              <w:bottom w:val="single" w:sz="4" w:space="0" w:color="auto"/>
              <w:right w:val="single" w:sz="4" w:space="0" w:color="auto"/>
            </w:tcBorders>
            <w:shd w:val="clear" w:color="auto" w:fill="auto"/>
            <w:vAlign w:val="center"/>
            <w:hideMark/>
          </w:tcPr>
          <w:p w14:paraId="51238612"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Empresas</w:t>
            </w:r>
          </w:p>
        </w:tc>
        <w:tc>
          <w:tcPr>
            <w:tcW w:w="1411" w:type="dxa"/>
            <w:tcBorders>
              <w:top w:val="nil"/>
              <w:left w:val="nil"/>
              <w:bottom w:val="single" w:sz="4" w:space="0" w:color="auto"/>
              <w:right w:val="single" w:sz="4" w:space="0" w:color="auto"/>
            </w:tcBorders>
            <w:vAlign w:val="center"/>
          </w:tcPr>
          <w:p w14:paraId="5ADB40F8"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2015</w:t>
            </w:r>
          </w:p>
        </w:tc>
      </w:tr>
      <w:tr w:rsidR="00BD2C91" w:rsidRPr="009063BE" w14:paraId="1A319950" w14:textId="77777777" w:rsidTr="00BD2C91">
        <w:trPr>
          <w:trHeight w:val="566"/>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61A26669"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Índice de Actividad Económica Coyuntural - IDEAC</w:t>
            </w:r>
          </w:p>
        </w:tc>
        <w:tc>
          <w:tcPr>
            <w:tcW w:w="1482" w:type="dxa"/>
            <w:tcBorders>
              <w:top w:val="nil"/>
              <w:left w:val="nil"/>
              <w:bottom w:val="single" w:sz="4" w:space="0" w:color="auto"/>
              <w:right w:val="single" w:sz="4" w:space="0" w:color="auto"/>
            </w:tcBorders>
            <w:shd w:val="clear" w:color="auto" w:fill="auto"/>
            <w:vAlign w:val="center"/>
            <w:hideMark/>
          </w:tcPr>
          <w:p w14:paraId="2E3FB957"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BCE</w:t>
            </w:r>
          </w:p>
        </w:tc>
        <w:tc>
          <w:tcPr>
            <w:tcW w:w="2850" w:type="dxa"/>
            <w:tcBorders>
              <w:top w:val="nil"/>
              <w:left w:val="nil"/>
              <w:bottom w:val="single" w:sz="4" w:space="0" w:color="auto"/>
              <w:right w:val="single" w:sz="4" w:space="0" w:color="auto"/>
            </w:tcBorders>
            <w:shd w:val="clear" w:color="auto" w:fill="auto"/>
            <w:vAlign w:val="center"/>
            <w:hideMark/>
          </w:tcPr>
          <w:p w14:paraId="5DB6075C" w14:textId="77777777" w:rsidR="00BD2C91" w:rsidRPr="009063BE" w:rsidRDefault="00BD2C91" w:rsidP="00BD2C91">
            <w:pPr>
              <w:jc w:val="both"/>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Económicas</w:t>
            </w:r>
          </w:p>
        </w:tc>
        <w:tc>
          <w:tcPr>
            <w:tcW w:w="1411" w:type="dxa"/>
            <w:tcBorders>
              <w:top w:val="nil"/>
              <w:left w:val="nil"/>
              <w:bottom w:val="single" w:sz="4" w:space="0" w:color="auto"/>
              <w:right w:val="single" w:sz="4" w:space="0" w:color="auto"/>
            </w:tcBorders>
            <w:vAlign w:val="center"/>
          </w:tcPr>
          <w:p w14:paraId="2B453C93"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2023</w:t>
            </w:r>
          </w:p>
        </w:tc>
      </w:tr>
      <w:tr w:rsidR="00BD2C91" w:rsidRPr="009063BE" w14:paraId="4ABEA420" w14:textId="77777777" w:rsidTr="00BD2C91">
        <w:trPr>
          <w:trHeight w:val="418"/>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7BD35798"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Nacionales Trimestrales</w:t>
            </w:r>
          </w:p>
        </w:tc>
        <w:tc>
          <w:tcPr>
            <w:tcW w:w="1482" w:type="dxa"/>
            <w:tcBorders>
              <w:top w:val="nil"/>
              <w:left w:val="nil"/>
              <w:bottom w:val="single" w:sz="4" w:space="0" w:color="auto"/>
              <w:right w:val="single" w:sz="4" w:space="0" w:color="auto"/>
            </w:tcBorders>
            <w:shd w:val="clear" w:color="auto" w:fill="auto"/>
            <w:vAlign w:val="center"/>
            <w:hideMark/>
          </w:tcPr>
          <w:p w14:paraId="75D451A2"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BCE</w:t>
            </w:r>
          </w:p>
        </w:tc>
        <w:tc>
          <w:tcPr>
            <w:tcW w:w="2850" w:type="dxa"/>
            <w:tcBorders>
              <w:top w:val="nil"/>
              <w:left w:val="nil"/>
              <w:bottom w:val="single" w:sz="4" w:space="0" w:color="auto"/>
              <w:right w:val="single" w:sz="4" w:space="0" w:color="auto"/>
            </w:tcBorders>
            <w:shd w:val="clear" w:color="auto" w:fill="auto"/>
            <w:vAlign w:val="center"/>
            <w:hideMark/>
          </w:tcPr>
          <w:p w14:paraId="6D4CB7F3" w14:textId="77777777" w:rsidR="00BD2C91" w:rsidRPr="009063BE" w:rsidRDefault="00BD2C91" w:rsidP="00BD2C91">
            <w:pPr>
              <w:jc w:val="both"/>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Económicas</w:t>
            </w:r>
          </w:p>
        </w:tc>
        <w:tc>
          <w:tcPr>
            <w:tcW w:w="1411" w:type="dxa"/>
            <w:tcBorders>
              <w:top w:val="nil"/>
              <w:left w:val="nil"/>
              <w:bottom w:val="single" w:sz="4" w:space="0" w:color="auto"/>
              <w:right w:val="single" w:sz="4" w:space="0" w:color="auto"/>
            </w:tcBorders>
            <w:vAlign w:val="center"/>
          </w:tcPr>
          <w:p w14:paraId="3339C81C"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2023</w:t>
            </w:r>
          </w:p>
        </w:tc>
      </w:tr>
      <w:tr w:rsidR="00BD2C91" w:rsidRPr="009063BE" w14:paraId="4475679E" w14:textId="77777777" w:rsidTr="00BD2C91">
        <w:trPr>
          <w:trHeight w:val="410"/>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0EAB442F"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Estadísticas del Sector Minero</w:t>
            </w:r>
          </w:p>
        </w:tc>
        <w:tc>
          <w:tcPr>
            <w:tcW w:w="1482" w:type="dxa"/>
            <w:tcBorders>
              <w:top w:val="nil"/>
              <w:left w:val="nil"/>
              <w:bottom w:val="single" w:sz="4" w:space="0" w:color="auto"/>
              <w:right w:val="single" w:sz="4" w:space="0" w:color="auto"/>
            </w:tcBorders>
            <w:shd w:val="clear" w:color="auto" w:fill="auto"/>
            <w:vAlign w:val="center"/>
            <w:hideMark/>
          </w:tcPr>
          <w:p w14:paraId="5B636968"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BCE</w:t>
            </w:r>
          </w:p>
        </w:tc>
        <w:tc>
          <w:tcPr>
            <w:tcW w:w="2850" w:type="dxa"/>
            <w:tcBorders>
              <w:top w:val="nil"/>
              <w:left w:val="nil"/>
              <w:bottom w:val="single" w:sz="4" w:space="0" w:color="auto"/>
              <w:right w:val="single" w:sz="4" w:space="0" w:color="auto"/>
            </w:tcBorders>
            <w:shd w:val="clear" w:color="auto" w:fill="auto"/>
            <w:vAlign w:val="center"/>
            <w:hideMark/>
          </w:tcPr>
          <w:p w14:paraId="0FCFACAD" w14:textId="77777777" w:rsidR="00BD2C91" w:rsidRPr="009063BE" w:rsidRDefault="00BD2C91" w:rsidP="00BD2C91">
            <w:pPr>
              <w:jc w:val="both"/>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Económicas</w:t>
            </w:r>
          </w:p>
        </w:tc>
        <w:tc>
          <w:tcPr>
            <w:tcW w:w="1411" w:type="dxa"/>
            <w:tcBorders>
              <w:top w:val="nil"/>
              <w:left w:val="nil"/>
              <w:bottom w:val="single" w:sz="4" w:space="0" w:color="auto"/>
              <w:right w:val="single" w:sz="4" w:space="0" w:color="auto"/>
            </w:tcBorders>
            <w:vAlign w:val="center"/>
          </w:tcPr>
          <w:p w14:paraId="2D201FEC"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2024</w:t>
            </w:r>
          </w:p>
        </w:tc>
      </w:tr>
      <w:tr w:rsidR="00BD2C91" w:rsidRPr="009063BE" w14:paraId="19FC43C5" w14:textId="77777777" w:rsidTr="00BD2C91">
        <w:trPr>
          <w:trHeight w:val="415"/>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6714EBCB"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Estadísticas del Sector Petrolero</w:t>
            </w:r>
          </w:p>
        </w:tc>
        <w:tc>
          <w:tcPr>
            <w:tcW w:w="1482" w:type="dxa"/>
            <w:tcBorders>
              <w:top w:val="nil"/>
              <w:left w:val="nil"/>
              <w:bottom w:val="single" w:sz="4" w:space="0" w:color="auto"/>
              <w:right w:val="single" w:sz="4" w:space="0" w:color="auto"/>
            </w:tcBorders>
            <w:shd w:val="clear" w:color="auto" w:fill="auto"/>
            <w:vAlign w:val="center"/>
            <w:hideMark/>
          </w:tcPr>
          <w:p w14:paraId="28A6AAF5"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BCE</w:t>
            </w:r>
          </w:p>
        </w:tc>
        <w:tc>
          <w:tcPr>
            <w:tcW w:w="2850" w:type="dxa"/>
            <w:tcBorders>
              <w:top w:val="nil"/>
              <w:left w:val="nil"/>
              <w:bottom w:val="single" w:sz="4" w:space="0" w:color="auto"/>
              <w:right w:val="single" w:sz="4" w:space="0" w:color="auto"/>
            </w:tcBorders>
            <w:shd w:val="clear" w:color="auto" w:fill="auto"/>
            <w:vAlign w:val="center"/>
            <w:hideMark/>
          </w:tcPr>
          <w:p w14:paraId="1CF9352C" w14:textId="77777777" w:rsidR="00BD2C91" w:rsidRPr="009063BE" w:rsidRDefault="00BD2C91" w:rsidP="00BD2C91">
            <w:pPr>
              <w:jc w:val="both"/>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Económicas</w:t>
            </w:r>
          </w:p>
        </w:tc>
        <w:tc>
          <w:tcPr>
            <w:tcW w:w="1411" w:type="dxa"/>
            <w:tcBorders>
              <w:top w:val="nil"/>
              <w:left w:val="nil"/>
              <w:bottom w:val="single" w:sz="4" w:space="0" w:color="auto"/>
              <w:right w:val="single" w:sz="4" w:space="0" w:color="auto"/>
            </w:tcBorders>
            <w:vAlign w:val="center"/>
          </w:tcPr>
          <w:p w14:paraId="1F79AD5B"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2024</w:t>
            </w:r>
          </w:p>
        </w:tc>
      </w:tr>
      <w:tr w:rsidR="00BD2C91" w:rsidRPr="009063BE" w14:paraId="00FB8D9F" w14:textId="77777777" w:rsidTr="00BD2C91">
        <w:trPr>
          <w:trHeight w:val="422"/>
        </w:trPr>
        <w:tc>
          <w:tcPr>
            <w:tcW w:w="2049" w:type="dxa"/>
            <w:tcBorders>
              <w:top w:val="nil"/>
              <w:left w:val="single" w:sz="4" w:space="0" w:color="auto"/>
              <w:bottom w:val="single" w:sz="4" w:space="0" w:color="auto"/>
              <w:right w:val="single" w:sz="4" w:space="0" w:color="auto"/>
            </w:tcBorders>
            <w:shd w:val="clear" w:color="auto" w:fill="auto"/>
            <w:vAlign w:val="center"/>
            <w:hideMark/>
          </w:tcPr>
          <w:p w14:paraId="7DC08985" w14:textId="77777777" w:rsidR="00BD2C91" w:rsidRPr="009063BE" w:rsidRDefault="00BD2C91" w:rsidP="00BD2C91">
            <w:pP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Nacionales Anuales</w:t>
            </w:r>
          </w:p>
        </w:tc>
        <w:tc>
          <w:tcPr>
            <w:tcW w:w="1482" w:type="dxa"/>
            <w:tcBorders>
              <w:top w:val="nil"/>
              <w:left w:val="nil"/>
              <w:bottom w:val="single" w:sz="4" w:space="0" w:color="auto"/>
              <w:right w:val="single" w:sz="4" w:space="0" w:color="auto"/>
            </w:tcBorders>
            <w:shd w:val="clear" w:color="auto" w:fill="auto"/>
            <w:vAlign w:val="center"/>
            <w:hideMark/>
          </w:tcPr>
          <w:p w14:paraId="5E68B2EB" w14:textId="77777777" w:rsidR="00BD2C91" w:rsidRPr="009063BE" w:rsidRDefault="00BD2C91" w:rsidP="00BD2C91">
            <w:pPr>
              <w:jc w:val="center"/>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BCE</w:t>
            </w:r>
          </w:p>
        </w:tc>
        <w:tc>
          <w:tcPr>
            <w:tcW w:w="2850" w:type="dxa"/>
            <w:tcBorders>
              <w:top w:val="nil"/>
              <w:left w:val="nil"/>
              <w:bottom w:val="single" w:sz="4" w:space="0" w:color="auto"/>
              <w:right w:val="single" w:sz="4" w:space="0" w:color="auto"/>
            </w:tcBorders>
            <w:shd w:val="clear" w:color="auto" w:fill="auto"/>
            <w:vAlign w:val="center"/>
            <w:hideMark/>
          </w:tcPr>
          <w:p w14:paraId="71A4C818" w14:textId="77777777" w:rsidR="00BD2C91" w:rsidRPr="009063BE" w:rsidRDefault="00BD2C91" w:rsidP="00BD2C91">
            <w:pPr>
              <w:jc w:val="both"/>
              <w:rPr>
                <w:rFonts w:ascii="Century Gothic" w:eastAsia="Times New Roman" w:hAnsi="Century Gothic" w:cs="Calibri"/>
                <w:color w:val="6E6E7C"/>
                <w:sz w:val="16"/>
                <w:szCs w:val="16"/>
                <w:lang w:eastAsia="es-EC"/>
              </w:rPr>
            </w:pPr>
            <w:r w:rsidRPr="009063BE">
              <w:rPr>
                <w:rFonts w:ascii="Century Gothic" w:eastAsia="Times New Roman" w:hAnsi="Century Gothic" w:cs="Calibri"/>
                <w:color w:val="6E6E7C"/>
                <w:sz w:val="16"/>
                <w:szCs w:val="16"/>
                <w:lang w:eastAsia="es-EC"/>
              </w:rPr>
              <w:t>Cuentas Económicas</w:t>
            </w:r>
          </w:p>
        </w:tc>
        <w:tc>
          <w:tcPr>
            <w:tcW w:w="1411" w:type="dxa"/>
            <w:tcBorders>
              <w:top w:val="nil"/>
              <w:left w:val="nil"/>
              <w:bottom w:val="single" w:sz="4" w:space="0" w:color="auto"/>
              <w:right w:val="single" w:sz="4" w:space="0" w:color="auto"/>
            </w:tcBorders>
            <w:vAlign w:val="center"/>
          </w:tcPr>
          <w:p w14:paraId="599D420B" w14:textId="77777777" w:rsidR="00BD2C91" w:rsidRPr="009063BE" w:rsidRDefault="00BD2C91" w:rsidP="00BD2C91">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2020</w:t>
            </w:r>
          </w:p>
        </w:tc>
      </w:tr>
      <w:bookmarkEnd w:id="57"/>
    </w:tbl>
    <w:p w14:paraId="4D74B646" w14:textId="77777777" w:rsidR="00BD2C91" w:rsidRDefault="00BD2C91" w:rsidP="00BD2C91">
      <w:pPr>
        <w:spacing w:after="200" w:line="276" w:lineRule="auto"/>
        <w:jc w:val="both"/>
        <w:rPr>
          <w:rFonts w:ascii="Century Gothic" w:eastAsia="Calibri" w:hAnsi="Century Gothic" w:cs="Times New Roman"/>
          <w:b/>
          <w:bCs/>
          <w:iCs/>
          <w:color w:val="6E6E7C"/>
          <w:sz w:val="18"/>
          <w:szCs w:val="18"/>
        </w:rPr>
      </w:pPr>
    </w:p>
    <w:p w14:paraId="11816709" w14:textId="77777777" w:rsidR="00BD2C91" w:rsidRDefault="00BD2C91" w:rsidP="00BD2C91">
      <w:pPr>
        <w:spacing w:after="200" w:line="276" w:lineRule="auto"/>
        <w:jc w:val="both"/>
        <w:rPr>
          <w:rFonts w:ascii="Century Gothic" w:eastAsia="Calibri" w:hAnsi="Century Gothic" w:cs="Times New Roman"/>
          <w:b/>
          <w:bCs/>
          <w:iCs/>
          <w:color w:val="6E6E7C"/>
          <w:sz w:val="18"/>
          <w:szCs w:val="18"/>
        </w:rPr>
      </w:pPr>
    </w:p>
    <w:p w14:paraId="2C5A8DC7" w14:textId="77777777" w:rsidR="00BD2C91" w:rsidRDefault="00BD2C91" w:rsidP="00BD2C91">
      <w:pPr>
        <w:spacing w:after="200" w:line="276" w:lineRule="auto"/>
        <w:jc w:val="both"/>
        <w:rPr>
          <w:rFonts w:ascii="Century Gothic" w:eastAsia="Calibri" w:hAnsi="Century Gothic" w:cs="Times New Roman"/>
          <w:b/>
          <w:bCs/>
          <w:iCs/>
          <w:color w:val="6E6E7C"/>
          <w:sz w:val="18"/>
          <w:szCs w:val="18"/>
        </w:rPr>
      </w:pPr>
    </w:p>
    <w:p w14:paraId="28FDC60A" w14:textId="77777777" w:rsidR="00BD2C91" w:rsidRDefault="00BD2C91" w:rsidP="00BD2C91">
      <w:pPr>
        <w:spacing w:after="200" w:line="276" w:lineRule="auto"/>
        <w:jc w:val="both"/>
        <w:rPr>
          <w:rFonts w:ascii="Century Gothic" w:eastAsia="Calibri" w:hAnsi="Century Gothic" w:cs="Times New Roman"/>
          <w:b/>
          <w:bCs/>
          <w:iCs/>
          <w:color w:val="6E6E7C"/>
          <w:sz w:val="18"/>
          <w:szCs w:val="18"/>
        </w:rPr>
      </w:pPr>
    </w:p>
    <w:bookmarkEnd w:id="58"/>
    <w:bookmarkEnd w:id="59"/>
    <w:bookmarkEnd w:id="60"/>
    <w:bookmarkEnd w:id="61"/>
    <w:p w14:paraId="2AA330B2" w14:textId="77777777" w:rsidR="006A74FA" w:rsidRDefault="006A74FA" w:rsidP="00BD2C91">
      <w:pPr>
        <w:spacing w:line="276" w:lineRule="auto"/>
        <w:ind w:firstLine="708"/>
        <w:rPr>
          <w:rFonts w:ascii="Century Gothic" w:eastAsia="Calibri" w:hAnsi="Century Gothic" w:cs="Times New Roman"/>
          <w:iCs/>
          <w:color w:val="6E6E7C"/>
          <w:sz w:val="16"/>
          <w:szCs w:val="16"/>
        </w:rPr>
      </w:pPr>
      <w:r w:rsidRPr="00582936">
        <w:rPr>
          <w:rFonts w:ascii="Century Gothic" w:eastAsia="Calibri" w:hAnsi="Century Gothic" w:cs="Times New Roman"/>
          <w:b/>
          <w:iCs/>
          <w:color w:val="6E6E7C"/>
          <w:sz w:val="16"/>
          <w:szCs w:val="16"/>
        </w:rPr>
        <w:t>Fuente:</w:t>
      </w:r>
      <w:r w:rsidRPr="00582936">
        <w:rPr>
          <w:rFonts w:ascii="Century Gothic" w:eastAsia="Calibri" w:hAnsi="Century Gothic" w:cs="Times New Roman"/>
          <w:iCs/>
          <w:color w:val="6E6E7C"/>
          <w:sz w:val="16"/>
          <w:szCs w:val="16"/>
        </w:rPr>
        <w:t xml:space="preserve"> Instituto Nacional de Estadística y Censos</w:t>
      </w:r>
      <w:r w:rsidR="00BD2C91">
        <w:rPr>
          <w:rFonts w:ascii="Century Gothic" w:eastAsia="Calibri" w:hAnsi="Century Gothic" w:cs="Times New Roman"/>
          <w:iCs/>
          <w:color w:val="6E6E7C"/>
          <w:sz w:val="16"/>
          <w:szCs w:val="16"/>
        </w:rPr>
        <w:t>.</w:t>
      </w:r>
    </w:p>
    <w:p w14:paraId="518FE5F1" w14:textId="77777777" w:rsidR="00BD2C91" w:rsidRPr="00582936" w:rsidRDefault="00BD2C91" w:rsidP="00BD2C91">
      <w:pPr>
        <w:spacing w:line="276" w:lineRule="auto"/>
        <w:ind w:firstLine="708"/>
        <w:jc w:val="both"/>
        <w:rPr>
          <w:rFonts w:ascii="Century Gothic" w:eastAsia="Calibri" w:hAnsi="Century Gothic" w:cs="Times New Roman"/>
          <w:bCs/>
          <w:iCs/>
          <w:color w:val="6E6E7C"/>
          <w:sz w:val="16"/>
          <w:szCs w:val="16"/>
        </w:rPr>
      </w:pPr>
      <w:r w:rsidRPr="00582936">
        <w:rPr>
          <w:rFonts w:ascii="Century Gothic" w:eastAsia="Calibri" w:hAnsi="Century Gothic" w:cs="Times New Roman"/>
          <w:b/>
          <w:iCs/>
          <w:color w:val="6E6E7C"/>
          <w:sz w:val="16"/>
          <w:szCs w:val="16"/>
        </w:rPr>
        <w:t>Elaboración</w:t>
      </w:r>
      <w:r w:rsidRPr="00582936">
        <w:rPr>
          <w:rFonts w:ascii="Century Gothic" w:eastAsia="Calibri" w:hAnsi="Century Gothic" w:cs="Times New Roman"/>
          <w:bCs/>
          <w:iCs/>
          <w:color w:val="6E6E7C"/>
          <w:sz w:val="16"/>
          <w:szCs w:val="16"/>
        </w:rPr>
        <w:t>: Gestión de Estadísticas Estructurales (GESE).</w:t>
      </w:r>
    </w:p>
    <w:p w14:paraId="1875411E" w14:textId="77777777" w:rsidR="00BD2C91" w:rsidRPr="00582936" w:rsidRDefault="00BD2C91" w:rsidP="006A74FA">
      <w:pPr>
        <w:spacing w:after="200" w:line="276" w:lineRule="auto"/>
        <w:rPr>
          <w:rFonts w:ascii="Century Gothic" w:eastAsia="Calibri" w:hAnsi="Century Gothic" w:cs="Times New Roman"/>
          <w:iCs/>
          <w:color w:val="6E6E7C"/>
          <w:sz w:val="16"/>
          <w:szCs w:val="16"/>
        </w:rPr>
      </w:pPr>
    </w:p>
    <w:p w14:paraId="654FEB52" w14:textId="77777777" w:rsidR="006A74FA" w:rsidRPr="00582936" w:rsidRDefault="006A74FA" w:rsidP="006A74FA">
      <w:pPr>
        <w:spacing w:after="160" w:line="276" w:lineRule="auto"/>
        <w:jc w:val="both"/>
        <w:rPr>
          <w:rFonts w:ascii="Century Gothic" w:eastAsia="Calibri" w:hAnsi="Century Gothic" w:cs="Times New Roman"/>
          <w:bCs/>
          <w:iCs/>
          <w:color w:val="6E6E7C"/>
          <w:sz w:val="21"/>
          <w:szCs w:val="21"/>
          <w:lang w:eastAsia="es-EC"/>
        </w:rPr>
      </w:pPr>
      <w:r w:rsidRPr="00582936">
        <w:rPr>
          <w:rFonts w:ascii="Century Gothic" w:eastAsia="Calibri" w:hAnsi="Century Gothic" w:cs="Times New Roman"/>
          <w:bCs/>
          <w:iCs/>
          <w:color w:val="6E6E7C"/>
          <w:sz w:val="21"/>
          <w:szCs w:val="21"/>
          <w:lang w:eastAsia="es-EC"/>
        </w:rPr>
        <w:t xml:space="preserve">Por otro lado, la muestra que estudia la ENESEM se conformó por empresas que constan en el Registro Estadístico de Empresas (REEM) 2021, operación estadística que está basada en registros administrativos cuyas principales fuentes de información corresponden al Instituto Ecuatoriano de Seguridad Social (IESS) y al Servicio de Rentas Internas (SRI); además, de otras encuestas elaboradas por el INEC. Al consolidar las fuentes de información, el REEM tiene una amplia cobertura sobre las unidades de análisis, un </w:t>
      </w:r>
      <w:r w:rsidRPr="00C94C26">
        <w:rPr>
          <w:rFonts w:ascii="Century Gothic" w:eastAsia="Calibri" w:hAnsi="Century Gothic" w:cs="Times New Roman"/>
          <w:bCs/>
          <w:iCs/>
          <w:color w:val="6E6E7C"/>
          <w:sz w:val="21"/>
          <w:szCs w:val="21"/>
          <w:lang w:eastAsia="es-EC"/>
        </w:rPr>
        <w:t>aproximado de 849 mil</w:t>
      </w:r>
      <w:r w:rsidRPr="00582936">
        <w:rPr>
          <w:rFonts w:ascii="Century Gothic" w:eastAsia="Calibri" w:hAnsi="Century Gothic" w:cs="Times New Roman"/>
          <w:bCs/>
          <w:iCs/>
          <w:color w:val="6E6E7C"/>
          <w:sz w:val="21"/>
          <w:szCs w:val="21"/>
          <w:lang w:eastAsia="es-EC"/>
        </w:rPr>
        <w:t xml:space="preserve"> empresas registradas en la publicación de resultados del </w:t>
      </w:r>
      <w:r w:rsidR="00C85D4E">
        <w:rPr>
          <w:rFonts w:ascii="Century Gothic" w:eastAsia="Calibri" w:hAnsi="Century Gothic" w:cs="Times New Roman"/>
          <w:bCs/>
          <w:iCs/>
          <w:color w:val="6E6E7C"/>
          <w:sz w:val="21"/>
          <w:szCs w:val="21"/>
          <w:lang w:eastAsia="es-EC"/>
        </w:rPr>
        <w:t>REEM</w:t>
      </w:r>
      <w:r w:rsidRPr="00582936">
        <w:rPr>
          <w:rFonts w:ascii="Century Gothic" w:eastAsia="Calibri" w:hAnsi="Century Gothic" w:cs="Times New Roman"/>
          <w:bCs/>
          <w:iCs/>
          <w:color w:val="6E6E7C"/>
          <w:sz w:val="21"/>
          <w:szCs w:val="21"/>
          <w:lang w:eastAsia="es-EC"/>
        </w:rPr>
        <w:t xml:space="preserve"> 2021; </w:t>
      </w:r>
      <w:r w:rsidR="00F44494">
        <w:rPr>
          <w:rFonts w:ascii="Century Gothic" w:eastAsia="Calibri" w:hAnsi="Century Gothic" w:cs="Times New Roman"/>
          <w:bCs/>
          <w:iCs/>
          <w:color w:val="6E6E7C"/>
          <w:sz w:val="21"/>
          <w:szCs w:val="21"/>
          <w:lang w:eastAsia="es-EC"/>
        </w:rPr>
        <w:t>se precisa que</w:t>
      </w:r>
      <w:r w:rsidRPr="00582936">
        <w:rPr>
          <w:rFonts w:ascii="Century Gothic" w:eastAsia="Calibri" w:hAnsi="Century Gothic" w:cs="Times New Roman"/>
          <w:bCs/>
          <w:iCs/>
          <w:color w:val="6E6E7C"/>
          <w:sz w:val="21"/>
          <w:szCs w:val="21"/>
          <w:lang w:eastAsia="es-EC"/>
        </w:rPr>
        <w:t xml:space="preserve">, </w:t>
      </w:r>
      <w:r w:rsidR="00F44494">
        <w:rPr>
          <w:rFonts w:ascii="Century Gothic" w:eastAsia="Calibri" w:hAnsi="Century Gothic" w:cs="Times New Roman"/>
          <w:bCs/>
          <w:iCs/>
          <w:color w:val="6E6E7C"/>
          <w:sz w:val="21"/>
          <w:szCs w:val="21"/>
          <w:lang w:eastAsia="es-EC"/>
        </w:rPr>
        <w:t>su</w:t>
      </w:r>
      <w:r w:rsidRPr="00582936">
        <w:rPr>
          <w:rFonts w:ascii="Century Gothic" w:eastAsia="Calibri" w:hAnsi="Century Gothic" w:cs="Times New Roman"/>
          <w:bCs/>
          <w:iCs/>
          <w:color w:val="6E6E7C"/>
          <w:sz w:val="21"/>
          <w:szCs w:val="21"/>
          <w:lang w:eastAsia="es-EC"/>
        </w:rPr>
        <w:t xml:space="preserve"> alcance temático cubre </w:t>
      </w:r>
      <w:r w:rsidRPr="00582936">
        <w:rPr>
          <w:rFonts w:ascii="Century Gothic" w:eastAsia="Calibri" w:hAnsi="Century Gothic" w:cs="Times New Roman"/>
          <w:bCs/>
          <w:iCs/>
          <w:color w:val="6E6E7C"/>
          <w:sz w:val="21"/>
          <w:szCs w:val="21"/>
          <w:lang w:eastAsia="es-EC"/>
        </w:rPr>
        <w:lastRenderedPageBreak/>
        <w:t>un número reducido de variables de publicación: ventas, personal afiliado, remuneraciones, y forma institucional.</w:t>
      </w:r>
    </w:p>
    <w:p w14:paraId="4603974F" w14:textId="77777777" w:rsidR="006A74FA" w:rsidRPr="00582936" w:rsidRDefault="006A74FA" w:rsidP="006A74FA">
      <w:pPr>
        <w:spacing w:after="160" w:line="276" w:lineRule="auto"/>
        <w:jc w:val="both"/>
        <w:rPr>
          <w:rFonts w:ascii="Century Gothic" w:eastAsia="Calibri" w:hAnsi="Century Gothic" w:cs="Times New Roman"/>
          <w:bCs/>
          <w:iCs/>
          <w:color w:val="6E6E7C"/>
          <w:sz w:val="21"/>
          <w:szCs w:val="21"/>
          <w:lang w:eastAsia="es-EC"/>
        </w:rPr>
      </w:pPr>
      <w:r w:rsidRPr="00582936">
        <w:rPr>
          <w:rFonts w:ascii="Century Gothic" w:eastAsia="Calibri" w:hAnsi="Century Gothic" w:cs="Times New Roman"/>
          <w:bCs/>
          <w:iCs/>
          <w:color w:val="6E6E7C"/>
          <w:sz w:val="21"/>
          <w:szCs w:val="21"/>
          <w:lang w:eastAsia="es-EC"/>
        </w:rPr>
        <w:t>La ENESEM aplica una técnica de investigación de encuesta, que según el Programa de Nacional de Estadística permite: i) cuantificar el levantamiento de información y la aplicación de la información que a partir de ella se genere; ii) comprobar niveles de representatividad nacional, regional o provincial de ser el caso de acuerdo con el universo y características de la investigación.</w:t>
      </w:r>
    </w:p>
    <w:p w14:paraId="12D08878" w14:textId="77777777" w:rsidR="006A74FA" w:rsidRPr="00582936" w:rsidRDefault="006A74FA" w:rsidP="006A74FA">
      <w:pPr>
        <w:spacing w:after="160" w:line="276" w:lineRule="auto"/>
        <w:jc w:val="both"/>
        <w:rPr>
          <w:rFonts w:ascii="Century Gothic" w:eastAsia="Calibri" w:hAnsi="Century Gothic" w:cs="Times New Roman"/>
          <w:bCs/>
          <w:iCs/>
          <w:color w:val="6E6E7C"/>
          <w:sz w:val="21"/>
          <w:szCs w:val="21"/>
          <w:lang w:eastAsia="es-EC"/>
        </w:rPr>
      </w:pPr>
      <w:r w:rsidRPr="00582936">
        <w:rPr>
          <w:rFonts w:ascii="Century Gothic" w:eastAsia="Calibri" w:hAnsi="Century Gothic" w:cs="Times New Roman"/>
          <w:bCs/>
          <w:iCs/>
          <w:color w:val="6E6E7C"/>
          <w:sz w:val="21"/>
          <w:szCs w:val="21"/>
          <w:lang w:eastAsia="es-EC"/>
        </w:rPr>
        <w:t>La ENESEM permite recabar una mayor cantidad de información y variables de cada unidad de investigación (empresa); esto con el fin de entregar datos estructurales que cuantifican y caracterizan la producción y/o comercialización de los segmentos empresariales más importantes de la economía. En grandes líneas, la información de la ENESEM incluye: actividades económicas de la empresa, ventas, consumo intermedio, activos fijos e intangibles, personal ocupado (afiliado), productos e insumos utilizados, variables de manejo ambiental, información básica a nivel de establecimientos, entre otras.</w:t>
      </w:r>
    </w:p>
    <w:p w14:paraId="6510241B" w14:textId="77777777" w:rsidR="006A74FA" w:rsidRPr="00BD0CD2" w:rsidRDefault="006A74FA" w:rsidP="006A74FA">
      <w:pPr>
        <w:pStyle w:val="Ttulo2"/>
        <w:numPr>
          <w:ilvl w:val="1"/>
          <w:numId w:val="1"/>
        </w:numPr>
        <w:spacing w:before="0" w:line="276" w:lineRule="auto"/>
        <w:jc w:val="both"/>
        <w:rPr>
          <w:rFonts w:eastAsiaTheme="minorHAnsi" w:cstheme="minorBidi"/>
          <w:bCs/>
          <w:color w:val="6E6E7C"/>
          <w:sz w:val="28"/>
          <w:szCs w:val="44"/>
        </w:rPr>
      </w:pPr>
      <w:bookmarkStart w:id="62" w:name="_Toc126657978"/>
      <w:bookmarkStart w:id="63" w:name="_Toc148617329"/>
      <w:bookmarkStart w:id="64" w:name="_Toc161322541"/>
      <w:r w:rsidRPr="00BD0CD2">
        <w:rPr>
          <w:rFonts w:eastAsiaTheme="minorHAnsi" w:cstheme="minorBidi"/>
          <w:bCs/>
          <w:color w:val="6E6E7C"/>
          <w:sz w:val="28"/>
          <w:szCs w:val="44"/>
        </w:rPr>
        <w:t>Objetivos de la operación estadística</w:t>
      </w:r>
      <w:bookmarkEnd w:id="62"/>
      <w:bookmarkEnd w:id="63"/>
      <w:bookmarkEnd w:id="64"/>
    </w:p>
    <w:p w14:paraId="374608B6" w14:textId="77777777" w:rsidR="006A74FA" w:rsidRPr="00582936" w:rsidRDefault="006A74FA" w:rsidP="006A74FA">
      <w:pPr>
        <w:rPr>
          <w:rFonts w:ascii="Century Gothic" w:hAnsi="Century Gothic"/>
          <w:color w:val="6E6E7C"/>
          <w:sz w:val="10"/>
          <w:szCs w:val="10"/>
        </w:rPr>
      </w:pPr>
    </w:p>
    <w:p w14:paraId="14C8ECFC" w14:textId="77777777" w:rsidR="006A74FA" w:rsidRPr="00BD0CD2" w:rsidRDefault="006A74FA" w:rsidP="006A74FA">
      <w:pPr>
        <w:spacing w:after="200" w:line="276" w:lineRule="auto"/>
        <w:ind w:left="284"/>
        <w:jc w:val="both"/>
        <w:rPr>
          <w:rFonts w:ascii="Century Gothic" w:eastAsia="Times New Roman" w:hAnsi="Century Gothic" w:cs="Times New Roman"/>
          <w:b/>
          <w:bCs/>
          <w:color w:val="6E6E7C"/>
        </w:rPr>
      </w:pPr>
      <w:bookmarkStart w:id="65" w:name="_Toc381774257"/>
      <w:bookmarkStart w:id="66" w:name="_Toc382901673"/>
      <w:bookmarkStart w:id="67" w:name="_Toc412998105"/>
      <w:r w:rsidRPr="00BD0CD2">
        <w:rPr>
          <w:rFonts w:ascii="Century Gothic" w:eastAsia="Times New Roman" w:hAnsi="Century Gothic" w:cs="Times New Roman"/>
          <w:b/>
          <w:bCs/>
          <w:color w:val="6E6E7C"/>
        </w:rPr>
        <w:t>Objetivo General</w:t>
      </w:r>
      <w:bookmarkStart w:id="68" w:name="_Toc381774258"/>
      <w:bookmarkStart w:id="69" w:name="_Toc382901674"/>
      <w:bookmarkEnd w:id="65"/>
      <w:bookmarkEnd w:id="66"/>
      <w:bookmarkEnd w:id="67"/>
    </w:p>
    <w:p w14:paraId="7B38423B" w14:textId="77777777" w:rsidR="006A74FA" w:rsidRPr="00BD0CD2" w:rsidRDefault="006A74FA" w:rsidP="006A74FA">
      <w:pPr>
        <w:spacing w:after="200" w:line="276" w:lineRule="auto"/>
        <w:ind w:left="284"/>
        <w:jc w:val="both"/>
        <w:rPr>
          <w:rFonts w:ascii="Century Gothic" w:eastAsia="Calibri" w:hAnsi="Century Gothic" w:cs="Times New Roman"/>
          <w:iCs/>
          <w:color w:val="6E6E7C"/>
          <w:sz w:val="21"/>
          <w:szCs w:val="21"/>
          <w:lang w:eastAsia="es-EC"/>
        </w:rPr>
      </w:pPr>
      <w:bookmarkStart w:id="70" w:name="_Toc412998106"/>
      <w:r w:rsidRPr="00BD0CD2">
        <w:rPr>
          <w:rFonts w:ascii="Century Gothic" w:eastAsia="Calibri" w:hAnsi="Century Gothic" w:cs="Times New Roman"/>
          <w:iCs/>
          <w:color w:val="6E6E7C"/>
          <w:sz w:val="21"/>
          <w:szCs w:val="21"/>
          <w:lang w:eastAsia="es-EC"/>
        </w:rPr>
        <w:t xml:space="preserve">Producir información estadística sobre la estructura económica y la producción de las empresas grandes y medianas del Ecuador, a fin de facilitar el diseño y evaluación de políticas públicas y la toma de decisiones del sector privado. </w:t>
      </w:r>
    </w:p>
    <w:p w14:paraId="3851C499" w14:textId="77777777" w:rsidR="006A74FA" w:rsidRPr="00BD0CD2" w:rsidRDefault="006A74FA" w:rsidP="006A74FA">
      <w:pPr>
        <w:spacing w:after="200" w:line="276" w:lineRule="auto"/>
        <w:ind w:left="284"/>
        <w:jc w:val="both"/>
        <w:rPr>
          <w:rFonts w:ascii="Century Gothic" w:eastAsia="Times New Roman" w:hAnsi="Century Gothic" w:cs="Times New Roman"/>
          <w:b/>
          <w:bCs/>
          <w:color w:val="6E6E7C"/>
        </w:rPr>
      </w:pPr>
      <w:r w:rsidRPr="00BD0CD2">
        <w:rPr>
          <w:rFonts w:ascii="Century Gothic" w:eastAsia="Times New Roman" w:hAnsi="Century Gothic" w:cs="Times New Roman"/>
          <w:b/>
          <w:bCs/>
          <w:color w:val="6E6E7C"/>
        </w:rPr>
        <w:t>Objetivos Específicos</w:t>
      </w:r>
      <w:bookmarkEnd w:id="68"/>
      <w:bookmarkEnd w:id="69"/>
      <w:bookmarkEnd w:id="70"/>
    </w:p>
    <w:p w14:paraId="33F00277" w14:textId="77777777" w:rsidR="006A74FA" w:rsidRPr="00BD0CD2" w:rsidRDefault="006A74FA" w:rsidP="006A74FA">
      <w:pPr>
        <w:numPr>
          <w:ilvl w:val="0"/>
          <w:numId w:val="3"/>
        </w:numPr>
        <w:spacing w:after="200" w:line="276" w:lineRule="auto"/>
        <w:contextualSpacing/>
        <w:jc w:val="both"/>
        <w:rPr>
          <w:rFonts w:ascii="Century Gothic" w:eastAsia="Times New Roman" w:hAnsi="Century Gothic" w:cs="Arial"/>
          <w:iCs/>
          <w:color w:val="6E6E7C"/>
          <w:sz w:val="21"/>
          <w:szCs w:val="21"/>
          <w:lang w:eastAsia="es-EC"/>
        </w:rPr>
      </w:pPr>
      <w:r w:rsidRPr="00BD0CD2">
        <w:rPr>
          <w:rFonts w:ascii="Century Gothic" w:eastAsia="Times New Roman" w:hAnsi="Century Gothic" w:cs="Arial"/>
          <w:iCs/>
          <w:color w:val="6E6E7C"/>
          <w:sz w:val="21"/>
          <w:szCs w:val="21"/>
          <w:lang w:eastAsia="es-EC"/>
        </w:rPr>
        <w:t>Presentar información empresarial con representatividad a nivel de actividad económica (sección CIIU) y tamaño de empresas (medianas y grandes).</w:t>
      </w:r>
    </w:p>
    <w:p w14:paraId="199B63C1" w14:textId="77777777" w:rsidR="006A74FA" w:rsidRPr="00BD0CD2" w:rsidRDefault="006A74FA" w:rsidP="006A74FA">
      <w:pPr>
        <w:numPr>
          <w:ilvl w:val="0"/>
          <w:numId w:val="3"/>
        </w:numPr>
        <w:spacing w:after="200" w:line="276" w:lineRule="auto"/>
        <w:contextualSpacing/>
        <w:jc w:val="both"/>
        <w:rPr>
          <w:rFonts w:ascii="Century Gothic" w:eastAsia="Times New Roman" w:hAnsi="Century Gothic" w:cs="Arial"/>
          <w:iCs/>
          <w:color w:val="6E6E7C"/>
          <w:sz w:val="21"/>
          <w:szCs w:val="21"/>
          <w:lang w:eastAsia="es-EC"/>
        </w:rPr>
      </w:pPr>
      <w:r w:rsidRPr="00BD0CD2">
        <w:rPr>
          <w:rFonts w:ascii="Century Gothic" w:eastAsia="Times New Roman" w:hAnsi="Century Gothic" w:cs="Arial"/>
          <w:iCs/>
          <w:color w:val="6E6E7C"/>
          <w:sz w:val="21"/>
          <w:szCs w:val="21"/>
          <w:lang w:eastAsia="es-EC"/>
        </w:rPr>
        <w:t>Producir información estadística relevante de empresas y su producción, para el seguimiento de metas del Plan Nacional de Desarrollo y a los Objetivos de Desarrollo Sostenible.</w:t>
      </w:r>
    </w:p>
    <w:p w14:paraId="794E9264" w14:textId="77777777" w:rsidR="006A74FA" w:rsidRPr="00BD0CD2" w:rsidRDefault="006A74FA" w:rsidP="006A74FA">
      <w:pPr>
        <w:numPr>
          <w:ilvl w:val="0"/>
          <w:numId w:val="3"/>
        </w:numPr>
        <w:spacing w:after="200" w:line="276" w:lineRule="auto"/>
        <w:contextualSpacing/>
        <w:jc w:val="both"/>
        <w:rPr>
          <w:rFonts w:ascii="Century Gothic" w:eastAsia="Times New Roman" w:hAnsi="Century Gothic" w:cs="Arial"/>
          <w:iCs/>
          <w:color w:val="6E6E7C"/>
          <w:sz w:val="21"/>
          <w:szCs w:val="21"/>
          <w:lang w:eastAsia="es-EC"/>
        </w:rPr>
      </w:pPr>
      <w:r w:rsidRPr="00BD0CD2">
        <w:rPr>
          <w:rFonts w:ascii="Century Gothic" w:eastAsia="Times New Roman" w:hAnsi="Century Gothic" w:cs="Arial"/>
          <w:iCs/>
          <w:color w:val="6E6E7C"/>
          <w:sz w:val="21"/>
          <w:szCs w:val="21"/>
          <w:lang w:eastAsia="es-EC"/>
        </w:rPr>
        <w:t xml:space="preserve">Retroalimentar el </w:t>
      </w:r>
      <w:r w:rsidRPr="00BD0CD2">
        <w:rPr>
          <w:rFonts w:ascii="Century Gothic" w:eastAsia="Calibri" w:hAnsi="Century Gothic" w:cs="Times New Roman"/>
          <w:iCs/>
          <w:color w:val="6E6E7C"/>
          <w:sz w:val="21"/>
          <w:szCs w:val="21"/>
          <w:lang w:eastAsia="es-EC"/>
        </w:rPr>
        <w:t xml:space="preserve">Registro Estadístico de Empresas </w:t>
      </w:r>
      <w:r w:rsidRPr="00BD0CD2">
        <w:rPr>
          <w:rFonts w:ascii="Century Gothic" w:eastAsia="Times New Roman" w:hAnsi="Century Gothic" w:cs="Arial"/>
          <w:iCs/>
          <w:color w:val="6E6E7C"/>
          <w:sz w:val="21"/>
          <w:szCs w:val="21"/>
          <w:lang w:eastAsia="es-EC"/>
        </w:rPr>
        <w:t>(REEM)</w:t>
      </w:r>
      <w:r w:rsidRPr="00BD0CD2">
        <w:rPr>
          <w:rFonts w:ascii="Century Gothic" w:eastAsia="Times New Roman" w:hAnsi="Century Gothic" w:cs="Arial"/>
          <w:iCs/>
          <w:color w:val="6E6E7C"/>
          <w:sz w:val="21"/>
          <w:szCs w:val="21"/>
          <w:vertAlign w:val="superscript"/>
          <w:lang w:eastAsia="es-EC"/>
        </w:rPr>
        <w:footnoteReference w:id="9"/>
      </w:r>
      <w:r w:rsidRPr="00BD0CD2">
        <w:rPr>
          <w:rFonts w:ascii="Century Gothic" w:eastAsia="Times New Roman" w:hAnsi="Century Gothic" w:cs="Arial"/>
          <w:iCs/>
          <w:color w:val="6E6E7C"/>
          <w:sz w:val="21"/>
          <w:szCs w:val="21"/>
          <w:lang w:eastAsia="es-EC"/>
        </w:rPr>
        <w:t xml:space="preserve"> con información contable validada en el levantamiento de campo.</w:t>
      </w:r>
    </w:p>
    <w:p w14:paraId="5652F7C5" w14:textId="77777777" w:rsidR="006A74FA" w:rsidRPr="00BD0CD2" w:rsidRDefault="006A74FA" w:rsidP="006A74FA">
      <w:pPr>
        <w:numPr>
          <w:ilvl w:val="0"/>
          <w:numId w:val="3"/>
        </w:numPr>
        <w:spacing w:after="200" w:line="276" w:lineRule="auto"/>
        <w:contextualSpacing/>
        <w:jc w:val="both"/>
        <w:rPr>
          <w:rFonts w:ascii="Century Gothic" w:eastAsia="Times New Roman" w:hAnsi="Century Gothic" w:cs="Arial"/>
          <w:iCs/>
          <w:color w:val="6E6E7C"/>
          <w:sz w:val="21"/>
          <w:szCs w:val="21"/>
          <w:lang w:eastAsia="es-EC"/>
        </w:rPr>
      </w:pPr>
      <w:r w:rsidRPr="00BD0CD2">
        <w:rPr>
          <w:rFonts w:ascii="Century Gothic" w:eastAsia="Times New Roman" w:hAnsi="Century Gothic" w:cs="Arial"/>
          <w:iCs/>
          <w:color w:val="6E6E7C"/>
          <w:sz w:val="21"/>
          <w:szCs w:val="21"/>
          <w:lang w:eastAsia="es-EC"/>
        </w:rPr>
        <w:t>Generar resultados a través del aprovechamiento de los registros empresariales, a fin de reducir la carga de respuesta de los informantes.</w:t>
      </w:r>
    </w:p>
    <w:p w14:paraId="47F81AB4" w14:textId="77777777" w:rsidR="006A74FA" w:rsidRPr="00582936" w:rsidRDefault="006A74FA" w:rsidP="006A74FA">
      <w:pPr>
        <w:rPr>
          <w:rFonts w:ascii="Century Gothic" w:hAnsi="Century Gothic"/>
          <w:color w:val="6E6E7C"/>
        </w:rPr>
      </w:pPr>
    </w:p>
    <w:p w14:paraId="142558F0" w14:textId="77777777" w:rsidR="006A74FA" w:rsidRPr="00BD0CD2" w:rsidRDefault="006A74FA" w:rsidP="006A74FA">
      <w:pPr>
        <w:pStyle w:val="Ttulo2"/>
        <w:numPr>
          <w:ilvl w:val="1"/>
          <w:numId w:val="1"/>
        </w:numPr>
        <w:spacing w:before="0" w:line="276" w:lineRule="auto"/>
        <w:jc w:val="both"/>
        <w:rPr>
          <w:rFonts w:eastAsiaTheme="minorHAnsi" w:cstheme="minorBidi"/>
          <w:bCs/>
          <w:color w:val="6E6E7C"/>
          <w:sz w:val="28"/>
          <w:szCs w:val="44"/>
        </w:rPr>
      </w:pPr>
      <w:bookmarkStart w:id="71" w:name="_Toc126657979"/>
      <w:bookmarkStart w:id="72" w:name="_Toc148617330"/>
      <w:bookmarkStart w:id="73" w:name="_Toc161322542"/>
      <w:r w:rsidRPr="00BD0CD2">
        <w:rPr>
          <w:rFonts w:eastAsiaTheme="minorHAnsi" w:cstheme="minorBidi"/>
          <w:bCs/>
          <w:color w:val="6E6E7C"/>
          <w:sz w:val="28"/>
          <w:szCs w:val="44"/>
        </w:rPr>
        <w:t>Marco conceptual</w:t>
      </w:r>
      <w:bookmarkEnd w:id="71"/>
      <w:bookmarkEnd w:id="72"/>
      <w:bookmarkEnd w:id="73"/>
    </w:p>
    <w:p w14:paraId="77D1B817" w14:textId="77777777" w:rsidR="006A74FA" w:rsidRPr="00582936" w:rsidRDefault="006A74FA" w:rsidP="006A74FA">
      <w:pPr>
        <w:spacing w:before="240"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El marco conceptual se estructura a partir de definiciones y conceptos relacionados, que representan un punto de vista sistemático de los fenómenos y variables que se van a emplear en el estudio. En este contexto, a continuación, se detallan las principales definiciones que contiene la encuesta: </w:t>
      </w:r>
    </w:p>
    <w:p w14:paraId="43904071" w14:textId="77777777" w:rsidR="006A74FA" w:rsidRPr="00582936" w:rsidRDefault="006A74FA" w:rsidP="006A74FA">
      <w:pPr>
        <w:spacing w:after="160" w:line="259"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lastRenderedPageBreak/>
        <w:t>Actividad Económica</w:t>
      </w:r>
    </w:p>
    <w:p w14:paraId="10051315" w14:textId="77777777" w:rsidR="006A74FA" w:rsidRPr="00582936" w:rsidRDefault="006A74FA" w:rsidP="006A74FA">
      <w:pPr>
        <w:spacing w:after="160" w:line="259"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Existen diversas maneras de conceptualizar la actividad económica a la que pertenece una empresa. Para ello, se citan los conceptos más relevantes que se enmarcan en el desarrollo de esta investigación:</w:t>
      </w:r>
    </w:p>
    <w:p w14:paraId="2DB9D2EA"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“Se denomina actividad económica a cualquier proceso mediante el cual se obtienen bienes y servicios que cubren necesidades. Las actividades económicas pueden describirse y clasificarse de acuerdo con sus características tales como:</w:t>
      </w:r>
    </w:p>
    <w:p w14:paraId="4CDD1D05" w14:textId="77777777" w:rsidR="006A74FA" w:rsidRPr="00582936" w:rsidRDefault="006A74FA" w:rsidP="006A74FA">
      <w:pPr>
        <w:numPr>
          <w:ilvl w:val="0"/>
          <w:numId w:val="5"/>
        </w:numPr>
        <w:spacing w:after="200" w:line="276" w:lineRule="auto"/>
        <w:ind w:left="1428"/>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Tipo de bienes o servicios producidos.</w:t>
      </w:r>
    </w:p>
    <w:p w14:paraId="59AF23A1" w14:textId="77777777" w:rsidR="006A74FA" w:rsidRPr="00582936" w:rsidRDefault="006A74FA" w:rsidP="006A74FA">
      <w:pPr>
        <w:numPr>
          <w:ilvl w:val="0"/>
          <w:numId w:val="5"/>
        </w:numPr>
        <w:spacing w:after="200" w:line="276" w:lineRule="auto"/>
        <w:ind w:left="1428"/>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Tipo de insumos utilizados o consumidos” </w:t>
      </w:r>
      <w:sdt>
        <w:sdtPr>
          <w:rPr>
            <w:rFonts w:ascii="Century Gothic" w:eastAsia="Calibri" w:hAnsi="Century Gothic" w:cs="Times New Roman"/>
            <w:iCs/>
            <w:color w:val="6E6E7C"/>
            <w:sz w:val="21"/>
            <w:szCs w:val="21"/>
          </w:rPr>
          <w:id w:val="-1410526205"/>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INE121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(INEC, 2012 a)</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2EF6B706" w14:textId="77777777" w:rsidR="006A74FA" w:rsidRPr="00582936" w:rsidRDefault="006A74FA" w:rsidP="006A74FA">
      <w:pPr>
        <w:spacing w:after="200" w:line="276" w:lineRule="auto"/>
        <w:jc w:val="both"/>
        <w:rPr>
          <w:rFonts w:ascii="Century Gothic" w:eastAsia="Calibri" w:hAnsi="Century Gothic" w:cs="Calibri"/>
          <w:iCs/>
          <w:color w:val="6E6E7C"/>
          <w:sz w:val="2"/>
          <w:szCs w:val="21"/>
        </w:rPr>
      </w:pPr>
    </w:p>
    <w:p w14:paraId="49D82B5C"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“La actividad está directamente ligada a la noción de producción: no hay producción sin actividad. Producir es crear bienes o suministrar servicios, utilizando otros bienes y servicios, dentro de un proceso de producción que requiere factores (materias primas, trabajo y capital fijo, entre otros)” </w:t>
      </w:r>
      <w:sdt>
        <w:sdtPr>
          <w:rPr>
            <w:rFonts w:ascii="Century Gothic" w:eastAsia="Calibri" w:hAnsi="Century Gothic" w:cs="Calibri"/>
            <w:iCs/>
            <w:color w:val="6E6E7C"/>
            <w:sz w:val="21"/>
            <w:szCs w:val="21"/>
          </w:rPr>
          <w:id w:val="-2144716958"/>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MarcadorDePosición24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(INEI, 2010)</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05043B85" w14:textId="77777777" w:rsidR="006A74FA" w:rsidRPr="00582936" w:rsidRDefault="006A74FA" w:rsidP="006A74FA">
      <w:pPr>
        <w:spacing w:before="240" w:after="160" w:line="259" w:lineRule="auto"/>
        <w:rPr>
          <w:rFonts w:ascii="Century Gothic" w:eastAsia="Calibri" w:hAnsi="Century Gothic" w:cs="Times New Roman"/>
          <w:b/>
          <w:bCs/>
          <w:iCs/>
          <w:color w:val="6E6E7C"/>
          <w:sz w:val="21"/>
          <w:szCs w:val="21"/>
        </w:rPr>
      </w:pPr>
      <w:bookmarkStart w:id="74" w:name="_Toc510521224"/>
      <w:r w:rsidRPr="00582936">
        <w:rPr>
          <w:rFonts w:ascii="Century Gothic" w:eastAsia="Calibri" w:hAnsi="Century Gothic" w:cs="Times New Roman"/>
          <w:b/>
          <w:bCs/>
          <w:iCs/>
          <w:color w:val="6E6E7C"/>
          <w:sz w:val="21"/>
          <w:szCs w:val="21"/>
        </w:rPr>
        <w:t>Activos fijos tangibles</w:t>
      </w:r>
      <w:bookmarkEnd w:id="74"/>
    </w:p>
    <w:p w14:paraId="0E6C21A8" w14:textId="77777777" w:rsidR="006A74FA" w:rsidRPr="00582936" w:rsidRDefault="006A74FA" w:rsidP="006A74FA">
      <w:pPr>
        <w:tabs>
          <w:tab w:val="left" w:pos="567"/>
          <w:tab w:val="left" w:pos="850"/>
          <w:tab w:val="left" w:pos="1587"/>
        </w:tabs>
        <w:spacing w:after="200" w:line="276" w:lineRule="auto"/>
        <w:jc w:val="both"/>
        <w:rPr>
          <w:rFonts w:ascii="Century Gothic" w:eastAsia="Calibri" w:hAnsi="Century Gothic" w:cs="Calibri"/>
          <w:iCs/>
          <w:color w:val="6E6E7C"/>
          <w:sz w:val="21"/>
          <w:szCs w:val="21"/>
        </w:rPr>
      </w:pPr>
      <w:bookmarkStart w:id="75" w:name="_Toc510521225"/>
      <w:r w:rsidRPr="00582936">
        <w:rPr>
          <w:rFonts w:ascii="Century Gothic" w:eastAsia="Calibri" w:hAnsi="Century Gothic" w:cs="Calibri"/>
          <w:iCs/>
          <w:color w:val="6E6E7C"/>
          <w:sz w:val="21"/>
          <w:szCs w:val="21"/>
        </w:rPr>
        <w:t xml:space="preserve">“Los activos fijos son activos producidos que se utilizan repetida, o continuamente, en procesos de producción durante más de un año” </w:t>
      </w:r>
      <w:sdt>
        <w:sdtPr>
          <w:rPr>
            <w:rFonts w:ascii="Century Gothic" w:eastAsia="Calibri" w:hAnsi="Century Gothic" w:cs="Calibri"/>
            <w:iCs/>
            <w:color w:val="6E6E7C"/>
            <w:sz w:val="21"/>
            <w:szCs w:val="21"/>
          </w:rPr>
          <w:id w:val="-803160979"/>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Fon01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(FMI, 2001)</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6553D051" w14:textId="77777777" w:rsidR="006A74FA" w:rsidRPr="00582936" w:rsidRDefault="006A74FA" w:rsidP="006A74FA">
      <w:pPr>
        <w:spacing w:after="160" w:line="259"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Activos fijos intangibles</w:t>
      </w:r>
      <w:bookmarkEnd w:id="75"/>
    </w:p>
    <w:p w14:paraId="5B6BACA9" w14:textId="77777777" w:rsidR="006A74FA" w:rsidRPr="00582936" w:rsidRDefault="006A74FA" w:rsidP="006A74FA">
      <w:pPr>
        <w:tabs>
          <w:tab w:val="left" w:pos="567"/>
          <w:tab w:val="left" w:pos="850"/>
          <w:tab w:val="left" w:pos="1587"/>
        </w:tabs>
        <w:spacing w:after="200" w:line="276" w:lineRule="auto"/>
        <w:jc w:val="both"/>
        <w:rPr>
          <w:rFonts w:ascii="Century Gothic" w:eastAsia="Calibri" w:hAnsi="Century Gothic" w:cs="Calibri"/>
          <w:iCs/>
          <w:color w:val="6E6E7C"/>
          <w:sz w:val="21"/>
          <w:szCs w:val="21"/>
        </w:rPr>
      </w:pPr>
      <w:bookmarkStart w:id="76" w:name="_Toc510521227"/>
      <w:r w:rsidRPr="00582936">
        <w:rPr>
          <w:rFonts w:ascii="Century Gothic" w:eastAsia="Calibri" w:hAnsi="Century Gothic" w:cs="Calibri"/>
          <w:iCs/>
          <w:color w:val="6E6E7C"/>
          <w:sz w:val="21"/>
          <w:szCs w:val="21"/>
        </w:rPr>
        <w:t xml:space="preserve">La naturaleza de los activos intangibles no es corpórea, es decir no se puede ver, ni tocar. Los ejemplos de este tipo de activos son derechos de autor, patentes, franquicias y licencias. La vida de los activos intangibles es limitada y sus costos se aplican al periodo contable a través del procedimiento de amortización </w:t>
      </w:r>
      <w:sdt>
        <w:sdtPr>
          <w:rPr>
            <w:rFonts w:ascii="Century Gothic" w:eastAsia="Calibri" w:hAnsi="Century Gothic" w:cs="Calibri"/>
            <w:iCs/>
            <w:color w:val="6E6E7C"/>
            <w:sz w:val="21"/>
            <w:szCs w:val="21"/>
          </w:rPr>
          <w:id w:val="-1659370455"/>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Lar08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(Lara, 2008)</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4CCBA530" w14:textId="77777777" w:rsidR="006A74FA" w:rsidRPr="00582936" w:rsidRDefault="006A74FA" w:rsidP="006A74FA">
      <w:pPr>
        <w:spacing w:after="160" w:line="259"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Amortización</w:t>
      </w:r>
      <w:bookmarkEnd w:id="76"/>
    </w:p>
    <w:p w14:paraId="3B8CFB74"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bookmarkStart w:id="77" w:name="_Toc510521214"/>
      <w:r w:rsidRPr="00582936">
        <w:rPr>
          <w:rFonts w:ascii="Century Gothic" w:eastAsia="Calibri" w:hAnsi="Century Gothic" w:cs="Calibri"/>
          <w:iCs/>
          <w:color w:val="6E6E7C"/>
          <w:sz w:val="21"/>
          <w:szCs w:val="21"/>
        </w:rPr>
        <w:t xml:space="preserve">La </w:t>
      </w:r>
      <w:r w:rsidR="00DF2E01">
        <w:rPr>
          <w:rFonts w:ascii="Century Gothic" w:eastAsia="Calibri" w:hAnsi="Century Gothic" w:cs="Calibri"/>
          <w:iCs/>
          <w:color w:val="6E6E7C"/>
          <w:sz w:val="21"/>
          <w:szCs w:val="21"/>
        </w:rPr>
        <w:t>a</w:t>
      </w:r>
      <w:r w:rsidRPr="00582936">
        <w:rPr>
          <w:rFonts w:ascii="Century Gothic" w:eastAsia="Calibri" w:hAnsi="Century Gothic" w:cs="Calibri"/>
          <w:iCs/>
          <w:color w:val="6E6E7C"/>
          <w:sz w:val="21"/>
          <w:szCs w:val="21"/>
        </w:rPr>
        <w:t xml:space="preserve">mortización es el acto y efecto de extinguir, ya sea en su totalidad o en parte, el valor del activo no corriente o activo fijo de manera irreversible, por ejemplo: el inmovilizado material, el inmovilizado intangible o inmaterial y las inversiones inmobiliarias </w:t>
      </w:r>
      <w:sdt>
        <w:sdtPr>
          <w:rPr>
            <w:rFonts w:ascii="Century Gothic" w:eastAsia="Calibri" w:hAnsi="Century Gothic" w:cs="Calibri"/>
            <w:iCs/>
            <w:color w:val="6E6E7C"/>
            <w:sz w:val="21"/>
            <w:szCs w:val="21"/>
          </w:rPr>
          <w:id w:val="1972633804"/>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Piq78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(Pique, 1978)</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 xml:space="preserve">. </w:t>
      </w:r>
    </w:p>
    <w:p w14:paraId="2A9762E4" w14:textId="77777777" w:rsidR="006A74FA" w:rsidRPr="00582936" w:rsidRDefault="006A74FA" w:rsidP="006A74FA">
      <w:pPr>
        <w:spacing w:before="240" w:after="200"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iCs/>
          <w:color w:val="6E6E7C"/>
          <w:sz w:val="21"/>
          <w:szCs w:val="21"/>
          <w:lang w:eastAsia="es-EC"/>
        </w:rPr>
        <w:t>Clasificación Industrial Internacional Uniforme (CIIU)</w:t>
      </w:r>
      <w:r w:rsidRPr="00582936" w:rsidDel="005E131A">
        <w:rPr>
          <w:rFonts w:ascii="Century Gothic" w:eastAsia="Times New Roman" w:hAnsi="Century Gothic" w:cs="Arial"/>
          <w:b/>
          <w:bCs/>
          <w:iCs/>
          <w:color w:val="6E6E7C"/>
          <w:sz w:val="21"/>
          <w:szCs w:val="21"/>
          <w:lang w:eastAsia="es-EC"/>
        </w:rPr>
        <w:t xml:space="preserve"> </w:t>
      </w:r>
    </w:p>
    <w:p w14:paraId="0CB97ED3" w14:textId="77777777" w:rsidR="006A74FA" w:rsidRPr="00582936" w:rsidRDefault="006A74FA" w:rsidP="006A74FA">
      <w:pPr>
        <w:spacing w:before="240"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La Clasificación Industrial Internacional Uniforme de todas las actividades económicas constituye una estructura de clasificación coherente y consistente de las actividades económicas basada en un conjunto de conceptos, definiciones, principios y normas de clasificación. Proporciona un marco general en que los datos económicos pueden reunirse y divulgarse en un formato diseñado para fines de análisis económico, adopción de decisiones y elaboración de políticas </w:t>
      </w:r>
      <w:sdt>
        <w:sdtPr>
          <w:rPr>
            <w:rFonts w:ascii="Century Gothic" w:eastAsia="Times New Roman" w:hAnsi="Century Gothic" w:cs="Arial"/>
            <w:bCs/>
            <w:iCs/>
            <w:color w:val="6E6E7C"/>
            <w:sz w:val="21"/>
            <w:szCs w:val="21"/>
            <w:lang w:eastAsia="es-EC"/>
          </w:rPr>
          <w:id w:val="957529467"/>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MarcadorDePosición25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(ONU, 2009)</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w:t>
      </w:r>
    </w:p>
    <w:p w14:paraId="43432EC2" w14:textId="77777777" w:rsidR="006A74FA" w:rsidRPr="00582936" w:rsidRDefault="006A74FA" w:rsidP="006A74FA">
      <w:pPr>
        <w:spacing w:before="240"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
          <w:iCs/>
          <w:color w:val="6E6E7C"/>
          <w:sz w:val="21"/>
          <w:szCs w:val="21"/>
          <w:lang w:eastAsia="es-EC"/>
        </w:rPr>
        <w:t>Clasificación Central de Productos (CPC)</w:t>
      </w:r>
      <w:r w:rsidRPr="00582936">
        <w:rPr>
          <w:rFonts w:ascii="Century Gothic" w:eastAsia="Times New Roman" w:hAnsi="Century Gothic" w:cs="Arial"/>
          <w:bCs/>
          <w:iCs/>
          <w:color w:val="6E6E7C"/>
          <w:sz w:val="21"/>
          <w:szCs w:val="21"/>
          <w:lang w:eastAsia="es-EC"/>
        </w:rPr>
        <w:t xml:space="preserve"> </w:t>
      </w:r>
    </w:p>
    <w:p w14:paraId="5C35FC7B" w14:textId="5B2F8330" w:rsidR="00746E03" w:rsidRPr="00746E03" w:rsidRDefault="00746E03" w:rsidP="006A74FA">
      <w:pPr>
        <w:spacing w:line="276" w:lineRule="auto"/>
        <w:jc w:val="both"/>
        <w:rPr>
          <w:rFonts w:ascii="Century Gothic" w:eastAsia="Times New Roman" w:hAnsi="Century Gothic" w:cs="Arial"/>
          <w:bCs/>
          <w:iCs/>
          <w:color w:val="6E6E7C"/>
          <w:sz w:val="21"/>
          <w:szCs w:val="21"/>
          <w:lang w:eastAsia="es-EC"/>
        </w:rPr>
      </w:pPr>
      <w:r w:rsidRPr="00746E03">
        <w:rPr>
          <w:rFonts w:ascii="Century Gothic" w:eastAsia="Times New Roman" w:hAnsi="Century Gothic" w:cs="Arial"/>
          <w:bCs/>
          <w:iCs/>
          <w:color w:val="6E6E7C"/>
          <w:sz w:val="21"/>
          <w:szCs w:val="21"/>
          <w:lang w:eastAsia="es-EC"/>
        </w:rPr>
        <w:t xml:space="preserve">La Clasificación Central de Productos (CPC) consiste de una estructura de clasificación de productos coherente y consistente basada en una serie de conceptos, definiciones, principios y reglas de clasificación internacionalmente </w:t>
      </w:r>
      <w:r w:rsidRPr="00746E03">
        <w:rPr>
          <w:rFonts w:ascii="Century Gothic" w:eastAsia="Times New Roman" w:hAnsi="Century Gothic" w:cs="Arial"/>
          <w:bCs/>
          <w:iCs/>
          <w:color w:val="6E6E7C"/>
          <w:sz w:val="21"/>
          <w:szCs w:val="21"/>
          <w:lang w:eastAsia="es-EC"/>
        </w:rPr>
        <w:lastRenderedPageBreak/>
        <w:t>acordados. Provee un marco completo por medio del cual se pueden levantar y presentar datos sobre productos, en un formato que permite el análisis económico para apoyar la toma de decisiones y la elaboración de políticas.</w:t>
      </w:r>
      <w:r>
        <w:rPr>
          <w:rFonts w:ascii="Century Gothic" w:eastAsia="Times New Roman" w:hAnsi="Century Gothic" w:cs="Arial"/>
          <w:bCs/>
          <w:iCs/>
          <w:color w:val="6E6E7C"/>
          <w:sz w:val="21"/>
          <w:szCs w:val="21"/>
          <w:lang w:eastAsia="es-EC"/>
        </w:rPr>
        <w:t xml:space="preserve"> </w:t>
      </w:r>
      <w:sdt>
        <w:sdtPr>
          <w:rPr>
            <w:rFonts w:ascii="Century Gothic" w:eastAsia="Times New Roman" w:hAnsi="Century Gothic" w:cs="Arial"/>
            <w:bCs/>
            <w:iCs/>
            <w:color w:val="6E6E7C"/>
            <w:sz w:val="21"/>
            <w:szCs w:val="21"/>
            <w:lang w:eastAsia="es-EC"/>
          </w:rPr>
          <w:id w:val="-495346736"/>
          <w:citation/>
        </w:sdtPr>
        <w:sdtContent>
          <w:r>
            <w:rPr>
              <w:rFonts w:ascii="Century Gothic" w:eastAsia="Times New Roman" w:hAnsi="Century Gothic" w:cs="Arial"/>
              <w:bCs/>
              <w:iCs/>
              <w:color w:val="6E6E7C"/>
              <w:sz w:val="21"/>
              <w:szCs w:val="21"/>
              <w:lang w:eastAsia="es-EC"/>
            </w:rPr>
            <w:fldChar w:fldCharType="begin"/>
          </w:r>
          <w:r>
            <w:rPr>
              <w:rFonts w:ascii="Century Gothic" w:eastAsia="Times New Roman" w:hAnsi="Century Gothic" w:cs="Arial"/>
              <w:bCs/>
              <w:iCs/>
              <w:color w:val="6E6E7C"/>
              <w:sz w:val="21"/>
              <w:szCs w:val="21"/>
              <w:lang w:val="es-ES" w:eastAsia="es-EC"/>
            </w:rPr>
            <w:instrText xml:space="preserve"> CITATION Org15 \l 3082 </w:instrText>
          </w:r>
          <w:r>
            <w:rPr>
              <w:rFonts w:ascii="Century Gothic" w:eastAsia="Times New Roman" w:hAnsi="Century Gothic" w:cs="Arial"/>
              <w:bCs/>
              <w:iCs/>
              <w:color w:val="6E6E7C"/>
              <w:sz w:val="21"/>
              <w:szCs w:val="21"/>
              <w:lang w:eastAsia="es-EC"/>
            </w:rPr>
            <w:fldChar w:fldCharType="separate"/>
          </w:r>
          <w:r w:rsidRPr="00746E03">
            <w:rPr>
              <w:rFonts w:ascii="Century Gothic" w:eastAsia="Times New Roman" w:hAnsi="Century Gothic" w:cs="Arial"/>
              <w:noProof/>
              <w:color w:val="6E6E7C"/>
              <w:sz w:val="21"/>
              <w:szCs w:val="21"/>
              <w:lang w:val="es-ES" w:eastAsia="es-EC"/>
            </w:rPr>
            <w:t>(Organización de Naciones Unidas, 2015)</w:t>
          </w:r>
          <w:r>
            <w:rPr>
              <w:rFonts w:ascii="Century Gothic" w:eastAsia="Times New Roman" w:hAnsi="Century Gothic" w:cs="Arial"/>
              <w:bCs/>
              <w:iCs/>
              <w:color w:val="6E6E7C"/>
              <w:sz w:val="21"/>
              <w:szCs w:val="21"/>
              <w:lang w:eastAsia="es-EC"/>
            </w:rPr>
            <w:fldChar w:fldCharType="end"/>
          </w:r>
        </w:sdtContent>
      </w:sdt>
    </w:p>
    <w:p w14:paraId="62B086EA" w14:textId="77777777" w:rsidR="00746E03" w:rsidRDefault="00746E03" w:rsidP="006A74FA">
      <w:pPr>
        <w:spacing w:line="276" w:lineRule="auto"/>
        <w:jc w:val="both"/>
      </w:pPr>
    </w:p>
    <w:p w14:paraId="6B02C6C3" w14:textId="1E23E90E" w:rsidR="006A74FA" w:rsidRPr="00582936" w:rsidRDefault="006A74FA" w:rsidP="006A74FA">
      <w:pPr>
        <w:spacing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Comercio al por mayor</w:t>
      </w:r>
    </w:p>
    <w:p w14:paraId="2F3E6E99" w14:textId="7DCC2A57" w:rsidR="00746E03" w:rsidRPr="00746E03" w:rsidRDefault="00746E03" w:rsidP="006A74FA">
      <w:pPr>
        <w:spacing w:before="240" w:after="200" w:line="276" w:lineRule="auto"/>
        <w:jc w:val="both"/>
        <w:rPr>
          <w:rFonts w:ascii="Century Gothic" w:eastAsia="Times New Roman" w:hAnsi="Century Gothic" w:cs="Arial"/>
          <w:bCs/>
          <w:iCs/>
          <w:color w:val="6E6E7C"/>
          <w:sz w:val="21"/>
          <w:szCs w:val="21"/>
          <w:lang w:eastAsia="es-EC"/>
        </w:rPr>
      </w:pPr>
      <w:r w:rsidRPr="00746E03">
        <w:rPr>
          <w:rFonts w:ascii="Century Gothic" w:eastAsia="Times New Roman" w:hAnsi="Century Gothic" w:cs="Arial"/>
          <w:bCs/>
          <w:iCs/>
          <w:color w:val="6E6E7C"/>
          <w:sz w:val="21"/>
          <w:szCs w:val="21"/>
          <w:lang w:eastAsia="es-EC"/>
        </w:rPr>
        <w:t xml:space="preserve">Se define como la reventa (venta sin transformación) de productos nuevos y usados a minoristas, el comercio de empresa a empresa (por ejemplo, a usuarios industriales, comerciales, institucionales o profesionales) o la reventa a otros mayoristas, o entraña actuar como agente o intermediario en la compra o la venta de mercaderías para esas personas o compañías. </w:t>
      </w:r>
      <w:sdt>
        <w:sdtPr>
          <w:rPr>
            <w:rFonts w:ascii="Century Gothic" w:eastAsia="Times New Roman" w:hAnsi="Century Gothic" w:cs="Arial"/>
            <w:bCs/>
            <w:iCs/>
            <w:color w:val="6E6E7C"/>
            <w:sz w:val="21"/>
            <w:szCs w:val="21"/>
            <w:lang w:eastAsia="es-EC"/>
          </w:rPr>
          <w:id w:val="806276375"/>
          <w:citation/>
        </w:sdtPr>
        <w:sdtContent>
          <w:r>
            <w:rPr>
              <w:rFonts w:ascii="Century Gothic" w:eastAsia="Times New Roman" w:hAnsi="Century Gothic" w:cs="Arial"/>
              <w:bCs/>
              <w:iCs/>
              <w:color w:val="6E6E7C"/>
              <w:sz w:val="21"/>
              <w:szCs w:val="21"/>
              <w:lang w:eastAsia="es-EC"/>
            </w:rPr>
            <w:fldChar w:fldCharType="begin"/>
          </w:r>
          <w:r>
            <w:rPr>
              <w:rFonts w:ascii="Century Gothic" w:eastAsia="Times New Roman" w:hAnsi="Century Gothic" w:cs="Arial"/>
              <w:bCs/>
              <w:iCs/>
              <w:color w:val="6E6E7C"/>
              <w:sz w:val="21"/>
              <w:szCs w:val="21"/>
              <w:lang w:val="es-ES" w:eastAsia="es-EC"/>
            </w:rPr>
            <w:instrText xml:space="preserve"> CITATION Org10 \l 3082 </w:instrText>
          </w:r>
          <w:r>
            <w:rPr>
              <w:rFonts w:ascii="Century Gothic" w:eastAsia="Times New Roman" w:hAnsi="Century Gothic" w:cs="Arial"/>
              <w:bCs/>
              <w:iCs/>
              <w:color w:val="6E6E7C"/>
              <w:sz w:val="21"/>
              <w:szCs w:val="21"/>
              <w:lang w:eastAsia="es-EC"/>
            </w:rPr>
            <w:fldChar w:fldCharType="separate"/>
          </w:r>
          <w:r w:rsidRPr="00746E03">
            <w:rPr>
              <w:rFonts w:ascii="Century Gothic" w:eastAsia="Times New Roman" w:hAnsi="Century Gothic" w:cs="Arial"/>
              <w:noProof/>
              <w:color w:val="6E6E7C"/>
              <w:sz w:val="21"/>
              <w:szCs w:val="21"/>
              <w:lang w:val="es-ES" w:eastAsia="es-EC"/>
            </w:rPr>
            <w:t>(Organización de las Naciones Unidas, 2010)</w:t>
          </w:r>
          <w:r>
            <w:rPr>
              <w:rFonts w:ascii="Century Gothic" w:eastAsia="Times New Roman" w:hAnsi="Century Gothic" w:cs="Arial"/>
              <w:bCs/>
              <w:iCs/>
              <w:color w:val="6E6E7C"/>
              <w:sz w:val="21"/>
              <w:szCs w:val="21"/>
              <w:lang w:eastAsia="es-EC"/>
            </w:rPr>
            <w:fldChar w:fldCharType="end"/>
          </w:r>
        </w:sdtContent>
      </w:sdt>
    </w:p>
    <w:p w14:paraId="1848350B" w14:textId="09259F74" w:rsidR="006A74FA" w:rsidRPr="00582936" w:rsidRDefault="006A74FA" w:rsidP="006A74FA">
      <w:pPr>
        <w:spacing w:before="240" w:after="200"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Comercio al por menor</w:t>
      </w:r>
    </w:p>
    <w:p w14:paraId="5002276B" w14:textId="2E57B6B1" w:rsidR="00746E03" w:rsidRPr="00746E03" w:rsidRDefault="00746E03" w:rsidP="006A74FA">
      <w:pPr>
        <w:tabs>
          <w:tab w:val="left" w:pos="567"/>
          <w:tab w:val="left" w:pos="3969"/>
          <w:tab w:val="left" w:pos="4280"/>
        </w:tabs>
        <w:spacing w:before="240" w:after="200" w:line="276" w:lineRule="auto"/>
        <w:jc w:val="both"/>
        <w:rPr>
          <w:rFonts w:ascii="Century Gothic" w:eastAsia="Calibri" w:hAnsi="Century Gothic" w:cs="Calibri"/>
          <w:iCs/>
          <w:color w:val="6E6E7C"/>
          <w:sz w:val="21"/>
          <w:szCs w:val="21"/>
        </w:rPr>
      </w:pPr>
      <w:r w:rsidRPr="00746E03">
        <w:rPr>
          <w:rFonts w:ascii="Century Gothic" w:eastAsia="Times New Roman" w:hAnsi="Century Gothic" w:cs="Arial"/>
          <w:bCs/>
          <w:iCs/>
          <w:color w:val="6E6E7C"/>
          <w:sz w:val="21"/>
          <w:szCs w:val="21"/>
          <w:lang w:eastAsia="es-EC"/>
        </w:rPr>
        <w:t>Se define como la reventa (venta sin transformación) de productos nuevos y usados principalmente al público en general para consumo o uso personal o doméstico, por establecimientos comerciales, grandes almacenes, quioscos, minoristas electrónicos, empresas de venta por correo, buhoneros y vendedores ambulantes, cooperativas de consumidores, etcétera.</w:t>
      </w:r>
      <w:r w:rsidRPr="00746E03">
        <w:rPr>
          <w:rFonts w:ascii="Century Gothic" w:eastAsia="Calibri" w:hAnsi="Century Gothic" w:cs="Calibri"/>
          <w:iCs/>
          <w:color w:val="6E6E7C"/>
          <w:sz w:val="21"/>
          <w:szCs w:val="21"/>
        </w:rPr>
        <w:t xml:space="preserve"> </w:t>
      </w:r>
      <w:sdt>
        <w:sdtPr>
          <w:rPr>
            <w:rFonts w:ascii="Century Gothic" w:eastAsia="Calibri" w:hAnsi="Century Gothic" w:cs="Calibri"/>
            <w:iCs/>
            <w:color w:val="6E6E7C"/>
            <w:sz w:val="21"/>
            <w:szCs w:val="21"/>
          </w:rPr>
          <w:id w:val="-1471515708"/>
          <w:citation/>
        </w:sdtPr>
        <w:sdtContent>
          <w:r>
            <w:rPr>
              <w:rFonts w:ascii="Century Gothic" w:eastAsia="Calibri" w:hAnsi="Century Gothic" w:cs="Calibri"/>
              <w:iCs/>
              <w:color w:val="6E6E7C"/>
              <w:sz w:val="21"/>
              <w:szCs w:val="21"/>
            </w:rPr>
            <w:fldChar w:fldCharType="begin"/>
          </w:r>
          <w:r>
            <w:rPr>
              <w:rFonts w:ascii="Century Gothic" w:eastAsia="Calibri" w:hAnsi="Century Gothic" w:cs="Calibri"/>
              <w:iCs/>
              <w:color w:val="6E6E7C"/>
              <w:sz w:val="21"/>
              <w:szCs w:val="21"/>
              <w:lang w:val="es-ES"/>
            </w:rPr>
            <w:instrText xml:space="preserve"> CITATION Org10 \l 3082 </w:instrText>
          </w:r>
          <w:r>
            <w:rPr>
              <w:rFonts w:ascii="Century Gothic" w:eastAsia="Calibri" w:hAnsi="Century Gothic" w:cs="Calibri"/>
              <w:iCs/>
              <w:color w:val="6E6E7C"/>
              <w:sz w:val="21"/>
              <w:szCs w:val="21"/>
            </w:rPr>
            <w:fldChar w:fldCharType="separate"/>
          </w:r>
          <w:r w:rsidRPr="00746E03">
            <w:rPr>
              <w:rFonts w:ascii="Century Gothic" w:eastAsia="Calibri" w:hAnsi="Century Gothic" w:cs="Calibri"/>
              <w:noProof/>
              <w:color w:val="6E6E7C"/>
              <w:sz w:val="21"/>
              <w:szCs w:val="21"/>
              <w:lang w:val="es-ES"/>
            </w:rPr>
            <w:t>(Organización de las Naciones Unidas, 2010)</w:t>
          </w:r>
          <w:r>
            <w:rPr>
              <w:rFonts w:ascii="Century Gothic" w:eastAsia="Calibri" w:hAnsi="Century Gothic" w:cs="Calibri"/>
              <w:iCs/>
              <w:color w:val="6E6E7C"/>
              <w:sz w:val="21"/>
              <w:szCs w:val="21"/>
            </w:rPr>
            <w:fldChar w:fldCharType="end"/>
          </w:r>
        </w:sdtContent>
      </w:sdt>
    </w:p>
    <w:p w14:paraId="002EE4AD" w14:textId="7DAF21B6" w:rsidR="006A74FA" w:rsidRPr="00582936" w:rsidRDefault="006A74FA" w:rsidP="006A74FA">
      <w:pPr>
        <w:tabs>
          <w:tab w:val="left" w:pos="567"/>
          <w:tab w:val="left" w:pos="3969"/>
          <w:tab w:val="left" w:pos="4280"/>
        </w:tabs>
        <w:spacing w:before="240" w:after="200" w:line="276" w:lineRule="auto"/>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 xml:space="preserve">Comercio electrónico </w:t>
      </w:r>
    </w:p>
    <w:p w14:paraId="220776CC" w14:textId="77777777" w:rsidR="006A74FA" w:rsidRPr="00582936" w:rsidRDefault="006A74FA" w:rsidP="006A74FA">
      <w:pPr>
        <w:tabs>
          <w:tab w:val="left" w:pos="567"/>
          <w:tab w:val="left" w:pos="3969"/>
          <w:tab w:val="left" w:pos="4280"/>
        </w:tabs>
        <w:spacing w:before="240"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Se ha definido como la actividad económica que permite realizar el comercio de productos y servicios a partir de medios digitales, como páginas web, aplicaciones móviles y redes sociales</w:t>
      </w:r>
      <w:sdt>
        <w:sdtPr>
          <w:rPr>
            <w:rFonts w:ascii="Century Gothic" w:eastAsia="Calibri" w:hAnsi="Century Gothic" w:cs="Calibri"/>
            <w:iCs/>
            <w:color w:val="6E6E7C"/>
            <w:sz w:val="21"/>
            <w:szCs w:val="21"/>
          </w:rPr>
          <w:id w:val="2030137823"/>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lang w:val="es-ES"/>
            </w:rPr>
            <w:instrText xml:space="preserve"> CITATION Ped19 \l 3082 </w:instrText>
          </w:r>
          <w:r w:rsidRPr="00582936">
            <w:rPr>
              <w:rFonts w:ascii="Century Gothic" w:eastAsia="Calibri" w:hAnsi="Century Gothic" w:cs="Calibri"/>
              <w:iCs/>
              <w:color w:val="6E6E7C"/>
              <w:sz w:val="21"/>
              <w:szCs w:val="21"/>
            </w:rPr>
            <w:fldChar w:fldCharType="separate"/>
          </w:r>
          <w:r w:rsidR="006E6B3C">
            <w:rPr>
              <w:rFonts w:ascii="Century Gothic" w:eastAsia="Calibri" w:hAnsi="Century Gothic" w:cs="Calibri"/>
              <w:iCs/>
              <w:noProof/>
              <w:color w:val="6E6E7C"/>
              <w:sz w:val="21"/>
              <w:szCs w:val="21"/>
              <w:lang w:val="es-ES"/>
            </w:rPr>
            <w:t xml:space="preserve"> </w:t>
          </w:r>
          <w:r w:rsidR="006E6B3C" w:rsidRPr="006E6B3C">
            <w:rPr>
              <w:rFonts w:ascii="Century Gothic" w:eastAsia="Calibri" w:hAnsi="Century Gothic" w:cs="Calibri"/>
              <w:noProof/>
              <w:color w:val="6E6E7C"/>
              <w:sz w:val="21"/>
              <w:szCs w:val="21"/>
              <w:lang w:val="es-ES"/>
            </w:rPr>
            <w:t>(Guajardo, 2019)</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13654190" w14:textId="77777777" w:rsidR="006A74FA" w:rsidRPr="00582936" w:rsidRDefault="006A74FA" w:rsidP="006A74FA">
      <w:pPr>
        <w:spacing w:before="240"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Consumo Intermedio</w:t>
      </w:r>
    </w:p>
    <w:p w14:paraId="2E90DDD2" w14:textId="77777777" w:rsidR="006A74FA" w:rsidRPr="00582936" w:rsidRDefault="006A74FA" w:rsidP="006A74FA">
      <w:pPr>
        <w:spacing w:before="240" w:after="200" w:line="276" w:lineRule="auto"/>
        <w:jc w:val="both"/>
        <w:rPr>
          <w:rFonts w:ascii="Century Gothic" w:eastAsia="Calibri" w:hAnsi="Century Gothic" w:cs="Times New Roman"/>
          <w:iCs/>
          <w:color w:val="6E6E7C"/>
          <w:sz w:val="21"/>
          <w:szCs w:val="21"/>
        </w:rPr>
      </w:pPr>
      <w:r w:rsidRPr="00582936">
        <w:rPr>
          <w:rFonts w:ascii="Century Gothic" w:eastAsia="Times New Roman" w:hAnsi="Century Gothic" w:cs="Arial"/>
          <w:bCs/>
          <w:iCs/>
          <w:color w:val="6E6E7C"/>
          <w:sz w:val="21"/>
          <w:szCs w:val="21"/>
          <w:lang w:eastAsia="es-EC"/>
        </w:rPr>
        <w:t xml:space="preserve">El consumo intermedio consiste en el valor de los bienes y servicios consumidos como insumo por un proceso de producción, excluidos los activos fijos cuyo consumo se registra como consumo de capital fijo. Los bienes y servicios pueden transformarse o consumirse en el proceso productivo </w:t>
      </w:r>
      <w:sdt>
        <w:sdtPr>
          <w:rPr>
            <w:rFonts w:ascii="Century Gothic" w:eastAsia="Calibri" w:hAnsi="Century Gothic" w:cs="Times New Roman"/>
            <w:iCs/>
            <w:color w:val="6E6E7C"/>
            <w:sz w:val="21"/>
            <w:szCs w:val="21"/>
          </w:rPr>
          <w:id w:val="308208212"/>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w:t>
      </w:r>
    </w:p>
    <w:p w14:paraId="069A9716" w14:textId="77777777" w:rsidR="006A74FA" w:rsidRPr="00582936" w:rsidRDefault="006A74FA" w:rsidP="006A74FA">
      <w:pPr>
        <w:spacing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Costos</w:t>
      </w:r>
      <w:bookmarkEnd w:id="77"/>
    </w:p>
    <w:p w14:paraId="73A2D9A4" w14:textId="77777777" w:rsidR="006A74FA" w:rsidRPr="00582936" w:rsidRDefault="006A74FA" w:rsidP="006A74FA">
      <w:pPr>
        <w:tabs>
          <w:tab w:val="left" w:pos="567"/>
          <w:tab w:val="left" w:pos="850"/>
          <w:tab w:val="left" w:pos="1587"/>
        </w:tabs>
        <w:spacing w:before="24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El costo o coste es el gasto económico que representa la fabricación de un producto o la prestación de un servicio. Al determinar el costo de producción, se puede establecer el precio de venta al público del bien en cuestión (el precio al público es la suma del costo más el beneficio) </w:t>
      </w:r>
      <w:sdt>
        <w:sdtPr>
          <w:rPr>
            <w:rFonts w:ascii="Century Gothic" w:eastAsia="Calibri" w:hAnsi="Century Gothic" w:cs="Calibri"/>
            <w:iCs/>
            <w:color w:val="6E6E7C"/>
            <w:sz w:val="21"/>
            <w:szCs w:val="21"/>
          </w:rPr>
          <w:id w:val="539565271"/>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Jul08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(Porto, 2008)</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498460B0" w14:textId="77777777" w:rsidR="006A74FA" w:rsidRPr="00582936" w:rsidRDefault="006A74FA" w:rsidP="006A74FA">
      <w:pPr>
        <w:tabs>
          <w:tab w:val="left" w:pos="567"/>
          <w:tab w:val="left" w:pos="850"/>
          <w:tab w:val="left" w:pos="1587"/>
        </w:tabs>
        <w:jc w:val="both"/>
        <w:rPr>
          <w:rFonts w:ascii="Century Gothic" w:eastAsia="Calibri" w:hAnsi="Century Gothic" w:cs="Calibri"/>
          <w:iCs/>
          <w:color w:val="6E6E7C"/>
          <w:sz w:val="21"/>
          <w:szCs w:val="21"/>
        </w:rPr>
      </w:pPr>
    </w:p>
    <w:p w14:paraId="767E205E" w14:textId="77777777" w:rsidR="006A74FA" w:rsidRPr="00582936" w:rsidRDefault="006A74FA" w:rsidP="006A74FA">
      <w:pPr>
        <w:spacing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
          <w:bCs/>
          <w:iCs/>
          <w:color w:val="6E6E7C"/>
          <w:sz w:val="21"/>
          <w:szCs w:val="21"/>
          <w:lang w:eastAsia="es-EC"/>
        </w:rPr>
        <w:t>Costos de Producción</w:t>
      </w:r>
    </w:p>
    <w:p w14:paraId="5FACAD95" w14:textId="77777777" w:rsidR="006A74FA" w:rsidRPr="00582936" w:rsidRDefault="006A74FA" w:rsidP="006A74FA">
      <w:pPr>
        <w:spacing w:before="240"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El costo de producción es el total de los costos relacionados, directa o indirectamente, con la producción, desde la adquisición de las materias primas hasta la transferencia</w:t>
      </w:r>
      <w:r w:rsidRPr="00582936">
        <w:rPr>
          <w:rFonts w:ascii="Century Gothic" w:eastAsia="Times New Roman" w:hAnsi="Century Gothic" w:cs="Arial"/>
          <w:b/>
          <w:bCs/>
          <w:iCs/>
          <w:color w:val="6E6E7C"/>
          <w:sz w:val="21"/>
          <w:szCs w:val="21"/>
          <w:lang w:eastAsia="es-EC"/>
        </w:rPr>
        <w:t xml:space="preserve"> </w:t>
      </w:r>
      <w:r w:rsidRPr="00582936">
        <w:rPr>
          <w:rFonts w:ascii="Century Gothic" w:eastAsia="Times New Roman" w:hAnsi="Century Gothic" w:cs="Arial"/>
          <w:bCs/>
          <w:iCs/>
          <w:color w:val="6E6E7C"/>
          <w:sz w:val="21"/>
          <w:szCs w:val="21"/>
          <w:lang w:eastAsia="es-EC"/>
        </w:rPr>
        <w:t xml:space="preserve">de los bienes y servicios terminados, desde la fábrica hasta el depósito de ventas, desde donde estará en condiciones de despacharse al cliente. </w:t>
      </w:r>
      <w:r w:rsidRPr="00582936">
        <w:rPr>
          <w:rFonts w:ascii="Century Gothic" w:eastAsia="Times New Roman" w:hAnsi="Century Gothic" w:cs="Arial"/>
          <w:bCs/>
          <w:iCs/>
          <w:color w:val="6E6E7C"/>
          <w:sz w:val="21"/>
          <w:szCs w:val="21"/>
          <w:lang w:eastAsia="es-EC"/>
        </w:rPr>
        <w:lastRenderedPageBreak/>
        <w:t xml:space="preserve">Se excluye de este grupo de costos de producción a los gastos asociados por la distribución y venta de los bienes y servicios y aquellos atribuibles al funcionamiento de la empresa como un todo. A este grupo se le identifica con la denominación genérica de costos de no producción </w:t>
      </w:r>
      <w:sdt>
        <w:sdtPr>
          <w:rPr>
            <w:rFonts w:ascii="Century Gothic" w:eastAsia="Times New Roman" w:hAnsi="Century Gothic" w:cs="Arial"/>
            <w:bCs/>
            <w:iCs/>
            <w:color w:val="6E6E7C"/>
            <w:sz w:val="21"/>
            <w:szCs w:val="21"/>
            <w:lang w:eastAsia="es-EC"/>
          </w:rPr>
          <w:id w:val="-81835301"/>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Lic09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(Fernández, 2009)</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w:t>
      </w:r>
    </w:p>
    <w:p w14:paraId="7E8C1BA5" w14:textId="77777777" w:rsidR="006A74FA" w:rsidRPr="00582936" w:rsidRDefault="006A74FA" w:rsidP="006A74FA">
      <w:pPr>
        <w:spacing w:line="276" w:lineRule="auto"/>
        <w:jc w:val="both"/>
        <w:rPr>
          <w:rFonts w:ascii="Century Gothic" w:eastAsia="Times New Roman" w:hAnsi="Century Gothic" w:cs="Arial"/>
          <w:b/>
          <w:bCs/>
          <w:iCs/>
          <w:color w:val="6E6E7C"/>
          <w:sz w:val="21"/>
          <w:szCs w:val="21"/>
          <w:lang w:eastAsia="es-EC"/>
        </w:rPr>
      </w:pPr>
      <w:bookmarkStart w:id="78" w:name="_Toc510521226"/>
      <w:r w:rsidRPr="00582936">
        <w:rPr>
          <w:rFonts w:ascii="Century Gothic" w:eastAsia="Times New Roman" w:hAnsi="Century Gothic" w:cs="Arial"/>
          <w:b/>
          <w:bCs/>
          <w:iCs/>
          <w:color w:val="6E6E7C"/>
          <w:sz w:val="21"/>
          <w:szCs w:val="21"/>
          <w:lang w:eastAsia="es-EC"/>
        </w:rPr>
        <w:t>Demanda Laboral</w:t>
      </w:r>
    </w:p>
    <w:p w14:paraId="600D8612" w14:textId="77777777" w:rsidR="006A74FA" w:rsidRPr="00582936" w:rsidRDefault="006A74FA" w:rsidP="006A74FA">
      <w:pPr>
        <w:spacing w:before="240"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Es la fuerza laboral con diferentes habilidades, educación, experiencia, entre otras características que las firmas necesitan para su proceso productivo </w:t>
      </w:r>
      <w:sdt>
        <w:sdtPr>
          <w:rPr>
            <w:rFonts w:ascii="Century Gothic" w:eastAsia="Times New Roman" w:hAnsi="Century Gothic" w:cs="Arial"/>
            <w:bCs/>
            <w:iCs/>
            <w:color w:val="6E6E7C"/>
            <w:sz w:val="21"/>
            <w:szCs w:val="21"/>
            <w:lang w:eastAsia="es-EC"/>
          </w:rPr>
          <w:id w:val="-1220973564"/>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Car19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(CEPAL, 2019)</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w:t>
      </w:r>
    </w:p>
    <w:p w14:paraId="01DD4792" w14:textId="77777777" w:rsidR="006A74FA" w:rsidRPr="00582936" w:rsidRDefault="006A74FA" w:rsidP="006A74FA">
      <w:pPr>
        <w:spacing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
          <w:bCs/>
          <w:iCs/>
          <w:color w:val="6E6E7C"/>
          <w:sz w:val="21"/>
          <w:szCs w:val="21"/>
          <w:lang w:eastAsia="es-EC"/>
        </w:rPr>
        <w:t>Depreciación de activos fijos</w:t>
      </w:r>
    </w:p>
    <w:p w14:paraId="210F5627" w14:textId="77777777" w:rsidR="00F67521" w:rsidRDefault="006A74FA" w:rsidP="006A74FA">
      <w:pPr>
        <w:spacing w:before="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Comprende la pérdida de valor durante el periodo de referencia, por el uso u obsolescencia de los activos fijos, propiedad de la unidad económica </w:t>
      </w:r>
      <w:sdt>
        <w:sdtPr>
          <w:rPr>
            <w:rFonts w:ascii="Century Gothic" w:eastAsia="Times New Roman" w:hAnsi="Century Gothic" w:cs="Arial"/>
            <w:bCs/>
            <w:iCs/>
            <w:color w:val="6E6E7C"/>
            <w:sz w:val="21"/>
            <w:szCs w:val="21"/>
            <w:lang w:eastAsia="es-EC"/>
          </w:rPr>
          <w:id w:val="-1939603763"/>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Ins14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(INEGI, 2014)</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w:t>
      </w:r>
    </w:p>
    <w:p w14:paraId="23856230" w14:textId="4813A041" w:rsidR="006A74FA" w:rsidRPr="002B59F0" w:rsidRDefault="006A74FA" w:rsidP="002B59F0">
      <w:pPr>
        <w:spacing w:before="240" w:line="276" w:lineRule="auto"/>
        <w:jc w:val="both"/>
        <w:rPr>
          <w:rFonts w:ascii="Century Gothic" w:eastAsia="Times New Roman" w:hAnsi="Century Gothic" w:cs="Arial"/>
          <w:bCs/>
          <w:iCs/>
          <w:color w:val="6E6E7C"/>
          <w:sz w:val="21"/>
          <w:szCs w:val="21"/>
          <w:lang w:eastAsia="es-EC"/>
        </w:rPr>
      </w:pPr>
      <w:bookmarkStart w:id="79" w:name="_Toc510521213"/>
      <w:bookmarkEnd w:id="78"/>
      <w:r w:rsidRPr="00582936">
        <w:rPr>
          <w:rFonts w:ascii="Century Gothic" w:eastAsia="Calibri" w:hAnsi="Century Gothic" w:cs="Times New Roman"/>
          <w:b/>
          <w:bCs/>
          <w:iCs/>
          <w:color w:val="6E6E7C"/>
          <w:sz w:val="21"/>
          <w:szCs w:val="21"/>
        </w:rPr>
        <w:t>Empresa</w:t>
      </w:r>
    </w:p>
    <w:p w14:paraId="4F148821" w14:textId="77777777" w:rsidR="006A74FA" w:rsidRPr="00582936" w:rsidRDefault="006A74FA" w:rsidP="006A74FA">
      <w:pPr>
        <w:tabs>
          <w:tab w:val="left" w:pos="567"/>
          <w:tab w:val="left" w:pos="850"/>
          <w:tab w:val="left" w:pos="1587"/>
        </w:tabs>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Una empresa es una unidad institucional considerada como productora de bienes y servicios </w:t>
      </w:r>
      <w:sdt>
        <w:sdtPr>
          <w:rPr>
            <w:rFonts w:ascii="Century Gothic" w:eastAsia="Calibri" w:hAnsi="Century Gothic" w:cs="Times New Roman"/>
            <w:iCs/>
            <w:color w:val="6E6E7C"/>
            <w:sz w:val="21"/>
            <w:szCs w:val="21"/>
          </w:rPr>
          <w:id w:val="290708138"/>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 xml:space="preserve">. </w:t>
      </w:r>
      <w:r w:rsidRPr="00582936">
        <w:rPr>
          <w:rFonts w:ascii="Century Gothic" w:eastAsia="Calibri" w:hAnsi="Century Gothic" w:cs="Calibri"/>
          <w:iCs/>
          <w:color w:val="6E6E7C"/>
          <w:sz w:val="21"/>
          <w:szCs w:val="21"/>
        </w:rPr>
        <w:t>Como agente económico con autonomía, puede adoptar decisiones financieras y de inversión con autoridad y responsabilidad para asignar recursos a la producción de bienes y servicios y puede realizar una o varias actividades productivas.</w:t>
      </w:r>
    </w:p>
    <w:p w14:paraId="61B738C5" w14:textId="77777777" w:rsidR="006A74FA" w:rsidRPr="00582936" w:rsidRDefault="006A74FA" w:rsidP="006A74FA">
      <w:pPr>
        <w:tabs>
          <w:tab w:val="left" w:pos="567"/>
          <w:tab w:val="left" w:pos="850"/>
          <w:tab w:val="left" w:pos="1587"/>
        </w:tabs>
        <w:spacing w:line="276" w:lineRule="auto"/>
        <w:jc w:val="both"/>
        <w:rPr>
          <w:rFonts w:ascii="Century Gothic" w:eastAsia="Calibri" w:hAnsi="Century Gothic" w:cs="Calibri"/>
          <w:iCs/>
          <w:color w:val="6E6E7C"/>
          <w:sz w:val="21"/>
          <w:szCs w:val="21"/>
        </w:rPr>
      </w:pPr>
    </w:p>
    <w:p w14:paraId="4D09D527"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Establecimiento</w:t>
      </w:r>
    </w:p>
    <w:p w14:paraId="0D430F1D" w14:textId="77777777" w:rsidR="006A74FA" w:rsidRPr="00582936" w:rsidRDefault="006A74FA" w:rsidP="006A74FA">
      <w:pPr>
        <w:tabs>
          <w:tab w:val="left" w:pos="567"/>
          <w:tab w:val="left" w:pos="850"/>
          <w:tab w:val="left" w:pos="1587"/>
        </w:tabs>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“El establecimiento se define como una empresa, o parte de una empresa, situada en un único emplazamiento y en el que sólo se realiza una actividad productiva o en el que la actividad productiva principal representa la mayor parte del valor agregado. Los establecimientos a veces se consideran como unidades locales según clase de actividad.” </w:t>
      </w:r>
      <w:sdt>
        <w:sdtPr>
          <w:rPr>
            <w:rFonts w:ascii="Century Gothic" w:eastAsia="Calibri" w:hAnsi="Century Gothic" w:cs="Times New Roman"/>
            <w:iCs/>
            <w:color w:val="6E6E7C"/>
            <w:sz w:val="21"/>
            <w:szCs w:val="21"/>
          </w:rPr>
          <w:id w:val="-329992110"/>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Calibri"/>
          <w:iCs/>
          <w:color w:val="6E6E7C"/>
          <w:sz w:val="21"/>
          <w:szCs w:val="21"/>
        </w:rPr>
        <w:t xml:space="preserve">. </w:t>
      </w:r>
      <w:bookmarkStart w:id="80" w:name="_Toc510521210"/>
    </w:p>
    <w:p w14:paraId="60A78C1F"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lang w:val="es-ES_tradnl"/>
        </w:rPr>
      </w:pPr>
      <w:bookmarkStart w:id="81" w:name="_Toc510521215"/>
      <w:bookmarkEnd w:id="79"/>
      <w:bookmarkEnd w:id="80"/>
      <w:r w:rsidRPr="00582936">
        <w:rPr>
          <w:rFonts w:ascii="Century Gothic" w:eastAsia="Calibri" w:hAnsi="Century Gothic" w:cs="Times New Roman"/>
          <w:b/>
          <w:bCs/>
          <w:iCs/>
          <w:color w:val="6E6E7C"/>
          <w:sz w:val="21"/>
          <w:szCs w:val="21"/>
          <w:lang w:val="es-ES_tradnl"/>
        </w:rPr>
        <w:t>Formación bruta de capital fijo</w:t>
      </w:r>
    </w:p>
    <w:p w14:paraId="16B77122" w14:textId="77777777" w:rsidR="006A74FA" w:rsidRPr="00582936" w:rsidRDefault="006A74FA" w:rsidP="006A74FA">
      <w:pPr>
        <w:spacing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lang w:val="es-ES_tradnl"/>
        </w:rPr>
        <w:t xml:space="preserve">La formación bruta de capital fijo se mide por el valor total de las adquisiciones menos las disposiciones de activos fijos efectuadas por el productor durante el período contable, más ciertos gastos específicos en servicios que incrementan el valor de los activos no producidos </w:t>
      </w:r>
      <w:sdt>
        <w:sdtPr>
          <w:rPr>
            <w:rFonts w:ascii="Century Gothic" w:eastAsia="Calibri" w:hAnsi="Century Gothic" w:cs="Times New Roman"/>
            <w:bCs/>
            <w:iCs/>
            <w:color w:val="6E6E7C"/>
            <w:sz w:val="21"/>
            <w:szCs w:val="21"/>
          </w:rPr>
          <w:id w:val="-190761400"/>
          <w:citation/>
        </w:sdtPr>
        <w:sdtContent>
          <w:r w:rsidRPr="00582936">
            <w:rPr>
              <w:rFonts w:ascii="Century Gothic" w:eastAsia="Calibri" w:hAnsi="Century Gothic" w:cs="Times New Roman"/>
              <w:bCs/>
              <w:iCs/>
              <w:color w:val="6E6E7C"/>
              <w:sz w:val="21"/>
              <w:szCs w:val="21"/>
            </w:rPr>
            <w:fldChar w:fldCharType="begin"/>
          </w:r>
          <w:r w:rsidRPr="00582936">
            <w:rPr>
              <w:rFonts w:ascii="Century Gothic" w:eastAsia="Calibri" w:hAnsi="Century Gothic" w:cs="Times New Roman"/>
              <w:bCs/>
              <w:iCs/>
              <w:color w:val="6E6E7C"/>
              <w:sz w:val="21"/>
              <w:szCs w:val="21"/>
            </w:rPr>
            <w:instrText xml:space="preserve">CITATION MarcadorDePosición23 \l 12298 </w:instrText>
          </w:r>
          <w:r w:rsidRPr="00582936">
            <w:rPr>
              <w:rFonts w:ascii="Century Gothic" w:eastAsia="Calibri" w:hAnsi="Century Gothic" w:cs="Times New Roman"/>
              <w:bCs/>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bCs/>
              <w:iCs/>
              <w:color w:val="6E6E7C"/>
              <w:sz w:val="21"/>
              <w:szCs w:val="21"/>
            </w:rPr>
            <w:fldChar w:fldCharType="end"/>
          </w:r>
        </w:sdtContent>
      </w:sdt>
      <w:r w:rsidRPr="00582936">
        <w:rPr>
          <w:rFonts w:ascii="Century Gothic" w:eastAsia="Calibri" w:hAnsi="Century Gothic" w:cs="Times New Roman"/>
          <w:bCs/>
          <w:iCs/>
          <w:color w:val="6E6E7C"/>
          <w:sz w:val="21"/>
          <w:szCs w:val="21"/>
        </w:rPr>
        <w:t>.</w:t>
      </w:r>
    </w:p>
    <w:p w14:paraId="167BE019" w14:textId="77777777" w:rsidR="006A74FA" w:rsidRPr="00582936" w:rsidRDefault="006A74FA" w:rsidP="006A74FA">
      <w:pPr>
        <w:spacing w:line="276" w:lineRule="auto"/>
        <w:jc w:val="both"/>
        <w:rPr>
          <w:rFonts w:ascii="Century Gothic" w:eastAsia="Calibri" w:hAnsi="Century Gothic" w:cs="Times New Roman"/>
          <w:bCs/>
          <w:iCs/>
          <w:color w:val="6E6E7C"/>
          <w:sz w:val="21"/>
          <w:szCs w:val="21"/>
          <w:lang w:val="es-ES_tradnl"/>
        </w:rPr>
      </w:pPr>
    </w:p>
    <w:p w14:paraId="2950E225"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Gastos</w:t>
      </w:r>
      <w:bookmarkEnd w:id="81"/>
    </w:p>
    <w:p w14:paraId="1F006EB9" w14:textId="77777777" w:rsidR="006A74FA" w:rsidRPr="00582936" w:rsidRDefault="006A74FA" w:rsidP="006A74FA">
      <w:pPr>
        <w:tabs>
          <w:tab w:val="left" w:pos="567"/>
          <w:tab w:val="left" w:pos="850"/>
          <w:tab w:val="left" w:pos="1587"/>
        </w:tabs>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“Son los decrementos en los beneficios económicos, producidos a lo largo del periodo contable, en forma de salidas o disminuciones del valor de los activos, o bien por la generación o aumento de los pasivos que dan como resultado decrementos en el patrimonio, y no están relacionados con las distribuciones realizadas a los propietarios de este patrimonio” </w:t>
      </w:r>
      <w:sdt>
        <w:sdtPr>
          <w:rPr>
            <w:rFonts w:ascii="Century Gothic" w:eastAsia="Calibri" w:hAnsi="Century Gothic" w:cs="Calibri"/>
            <w:iCs/>
            <w:color w:val="6E6E7C"/>
            <w:sz w:val="21"/>
            <w:szCs w:val="21"/>
          </w:rPr>
          <w:id w:val="-2009741986"/>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SRI17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(SRI, 2017)</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6EA47B68"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bookmarkStart w:id="82" w:name="_Toc510521229"/>
      <w:bookmarkStart w:id="83" w:name="_Toc510521217"/>
      <w:r w:rsidRPr="00582936">
        <w:rPr>
          <w:rFonts w:ascii="Century Gothic" w:eastAsia="Calibri" w:hAnsi="Century Gothic" w:cs="Times New Roman"/>
          <w:b/>
          <w:bCs/>
          <w:iCs/>
          <w:color w:val="6E6E7C"/>
          <w:sz w:val="21"/>
          <w:szCs w:val="21"/>
        </w:rPr>
        <w:t>Grupo de Ocupación</w:t>
      </w:r>
      <w:bookmarkEnd w:id="82"/>
    </w:p>
    <w:p w14:paraId="371F3A92" w14:textId="77777777" w:rsidR="006A74FA" w:rsidRDefault="006A74FA" w:rsidP="006A74FA">
      <w:pPr>
        <w:tabs>
          <w:tab w:val="left" w:pos="567"/>
          <w:tab w:val="left" w:pos="850"/>
          <w:tab w:val="left" w:pos="1587"/>
        </w:tabs>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“Se refiere a la actividad o actividades específicas que desarrolla el trabajador dentro de la empresa, que a su vez es una forma de caracterizar los puestos de trabajo de acuerdo con la Clasificación Internacional de Ocupaciones (CIUO)” </w:t>
      </w:r>
      <w:sdt>
        <w:sdtPr>
          <w:rPr>
            <w:rFonts w:ascii="Century Gothic" w:eastAsia="Calibri" w:hAnsi="Century Gothic" w:cs="Calibri"/>
            <w:iCs/>
            <w:color w:val="6E6E7C"/>
            <w:sz w:val="21"/>
            <w:szCs w:val="21"/>
          </w:rPr>
          <w:id w:val="546967808"/>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INE122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(INEC, 2012 b)</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371843EF"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lastRenderedPageBreak/>
        <w:t>Ingresos</w:t>
      </w:r>
    </w:p>
    <w:p w14:paraId="59C81424" w14:textId="33F7C1A5" w:rsidR="00BD2C91" w:rsidRDefault="006A74FA" w:rsidP="002B59F0">
      <w:pPr>
        <w:tabs>
          <w:tab w:val="left" w:pos="567"/>
          <w:tab w:val="left" w:pos="850"/>
          <w:tab w:val="left" w:pos="1587"/>
        </w:tabs>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“Los ingresos son definidos como incrementos en los beneficios económicos, producidos a lo largo del periodo contable, en forma de entradas o incrementos de valor de los activos, o bien como disminuciones de los pasivos, que dan como resultado aumentos del patrimonio y no están relacionados con las aportaciones de los propietarios de la entidad. El concepto de ingreso comprende tanto los ingresos de actividades ordinarias como las ganancias.” </w:t>
      </w:r>
      <w:sdt>
        <w:sdtPr>
          <w:rPr>
            <w:rFonts w:ascii="Century Gothic" w:eastAsia="Calibri" w:hAnsi="Century Gothic" w:cs="Calibri"/>
            <w:iCs/>
            <w:color w:val="6E6E7C"/>
            <w:sz w:val="21"/>
            <w:szCs w:val="21"/>
          </w:rPr>
          <w:id w:val="-378944797"/>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SRI17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(SRI, 2017)</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467D0C71" w14:textId="77777777" w:rsidR="002B59F0" w:rsidRPr="002B59F0" w:rsidRDefault="002B59F0" w:rsidP="002B59F0">
      <w:pPr>
        <w:tabs>
          <w:tab w:val="left" w:pos="567"/>
          <w:tab w:val="left" w:pos="850"/>
          <w:tab w:val="left" w:pos="1587"/>
        </w:tabs>
        <w:spacing w:line="276" w:lineRule="auto"/>
        <w:jc w:val="both"/>
        <w:rPr>
          <w:rFonts w:ascii="Century Gothic" w:eastAsia="Calibri" w:hAnsi="Century Gothic" w:cs="Calibri"/>
          <w:iCs/>
          <w:color w:val="6E6E7C"/>
          <w:sz w:val="21"/>
          <w:szCs w:val="21"/>
        </w:rPr>
      </w:pPr>
    </w:p>
    <w:p w14:paraId="6BB98E4E"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Inventarios</w:t>
      </w:r>
      <w:bookmarkEnd w:id="83"/>
    </w:p>
    <w:p w14:paraId="48952F63" w14:textId="77777777" w:rsidR="00F44494" w:rsidRPr="00F67521" w:rsidRDefault="006A74FA" w:rsidP="00F67521">
      <w:pPr>
        <w:tabs>
          <w:tab w:val="left" w:pos="567"/>
          <w:tab w:val="left" w:pos="850"/>
          <w:tab w:val="left" w:pos="1587"/>
        </w:tabs>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Se define un inventario como la acumulación de materiales (materias primas, productos en proceso, productos terminados o artículos en mantenimiento) que posteriormente serán usados para satisfacer una demanda futura </w:t>
      </w:r>
      <w:sdt>
        <w:sdtPr>
          <w:rPr>
            <w:rFonts w:ascii="Century Gothic" w:eastAsia="Calibri" w:hAnsi="Century Gothic" w:cs="Calibri"/>
            <w:iCs/>
            <w:color w:val="6E6E7C"/>
            <w:sz w:val="21"/>
            <w:szCs w:val="21"/>
          </w:rPr>
          <w:id w:val="1600907708"/>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Moy99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(Moya &amp; Marcos, 1999)</w:t>
          </w:r>
          <w:r w:rsidRPr="00582936">
            <w:rPr>
              <w:rFonts w:ascii="Century Gothic" w:eastAsia="Calibri" w:hAnsi="Century Gothic" w:cs="Calibri"/>
              <w:iCs/>
              <w:color w:val="6E6E7C"/>
              <w:sz w:val="21"/>
              <w:szCs w:val="21"/>
            </w:rPr>
            <w:fldChar w:fldCharType="end"/>
          </w:r>
        </w:sdtContent>
      </w:sdt>
      <w:bookmarkStart w:id="84" w:name="_Toc510521220"/>
      <w:bookmarkStart w:id="85" w:name="_Toc510521218"/>
      <w:r w:rsidR="00F67521">
        <w:rPr>
          <w:rFonts w:ascii="Century Gothic" w:eastAsia="Calibri" w:hAnsi="Century Gothic" w:cs="Calibri"/>
          <w:iCs/>
          <w:color w:val="6E6E7C"/>
          <w:sz w:val="21"/>
          <w:szCs w:val="21"/>
        </w:rPr>
        <w:t>.</w:t>
      </w:r>
    </w:p>
    <w:p w14:paraId="1E47B5EB"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Materias Primas</w:t>
      </w:r>
      <w:bookmarkEnd w:id="84"/>
    </w:p>
    <w:p w14:paraId="401AC0C1" w14:textId="77777777" w:rsidR="006A74FA" w:rsidRPr="00582936" w:rsidRDefault="006A74FA" w:rsidP="006A74FA">
      <w:pPr>
        <w:tabs>
          <w:tab w:val="left" w:pos="567"/>
          <w:tab w:val="left" w:pos="850"/>
          <w:tab w:val="left" w:pos="1587"/>
        </w:tabs>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Son todos aquellos bienes que luego de haber sido sometidos a un proceso de transformación, pasan a formar parte del producto final</w:t>
      </w:r>
      <w:r>
        <w:rPr>
          <w:rFonts w:ascii="Century Gothic" w:eastAsia="Calibri" w:hAnsi="Century Gothic" w:cs="Calibri"/>
          <w:iCs/>
          <w:color w:val="6E6E7C"/>
          <w:sz w:val="21"/>
          <w:szCs w:val="21"/>
        </w:rPr>
        <w:t>;</w:t>
      </w:r>
      <w:r w:rsidRPr="00582936">
        <w:rPr>
          <w:rFonts w:ascii="Century Gothic" w:eastAsia="Calibri" w:hAnsi="Century Gothic" w:cs="Calibri"/>
          <w:iCs/>
          <w:color w:val="6E6E7C"/>
          <w:sz w:val="21"/>
          <w:szCs w:val="21"/>
        </w:rPr>
        <w:t xml:space="preserve"> es decir, comprenden todos los insumos que se requieren para la elaboración o la fabricación de un producto. </w:t>
      </w:r>
    </w:p>
    <w:p w14:paraId="5D61716C" w14:textId="77777777" w:rsidR="006A74FA" w:rsidRPr="00582936" w:rsidRDefault="006A74FA" w:rsidP="006A74FA">
      <w:pPr>
        <w:tabs>
          <w:tab w:val="left" w:pos="567"/>
          <w:tab w:val="left" w:pos="3969"/>
          <w:tab w:val="left" w:pos="4280"/>
        </w:tabs>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“Son insumos físicos que pasan a formar parte de los productos finales; pueden ser productos primarios o productos ya elaborados” </w:t>
      </w:r>
      <w:sdt>
        <w:sdtPr>
          <w:rPr>
            <w:rFonts w:ascii="Century Gothic" w:eastAsia="Calibri" w:hAnsi="Century Gothic" w:cs="Calibri"/>
            <w:iCs/>
            <w:color w:val="6E6E7C"/>
            <w:sz w:val="21"/>
            <w:szCs w:val="21"/>
          </w:rPr>
          <w:id w:val="1575627429"/>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INEC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(INEC, 2011)</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7E4916BF" w14:textId="77777777" w:rsidR="006A74FA" w:rsidRPr="00582936" w:rsidRDefault="006A74FA" w:rsidP="006A74FA">
      <w:pPr>
        <w:tabs>
          <w:tab w:val="left" w:pos="567"/>
          <w:tab w:val="left" w:pos="3969"/>
          <w:tab w:val="left" w:pos="4280"/>
        </w:tabs>
        <w:spacing w:line="276" w:lineRule="auto"/>
        <w:jc w:val="both"/>
        <w:rPr>
          <w:rFonts w:ascii="Century Gothic" w:eastAsia="Calibri" w:hAnsi="Century Gothic" w:cs="Calibri"/>
          <w:iCs/>
          <w:color w:val="6E6E7C"/>
          <w:sz w:val="21"/>
          <w:szCs w:val="21"/>
        </w:rPr>
      </w:pPr>
    </w:p>
    <w:p w14:paraId="54FA8769"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bookmarkStart w:id="86" w:name="_Toc510521221"/>
      <w:r w:rsidRPr="00582936">
        <w:rPr>
          <w:rFonts w:ascii="Century Gothic" w:eastAsia="Calibri" w:hAnsi="Century Gothic" w:cs="Times New Roman"/>
          <w:b/>
          <w:bCs/>
          <w:iCs/>
          <w:color w:val="6E6E7C"/>
          <w:sz w:val="21"/>
          <w:szCs w:val="21"/>
        </w:rPr>
        <w:t>Materiales Auxiliares</w:t>
      </w:r>
      <w:bookmarkEnd w:id="86"/>
    </w:p>
    <w:p w14:paraId="2A29A1E2" w14:textId="77777777" w:rsidR="006A74FA" w:rsidRPr="00582936" w:rsidRDefault="006A74FA" w:rsidP="006A74FA">
      <w:pPr>
        <w:tabs>
          <w:tab w:val="left" w:pos="567"/>
          <w:tab w:val="left" w:pos="3969"/>
          <w:tab w:val="left" w:pos="4280"/>
        </w:tabs>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“Comprenden todos los bienes que contribuyen al proceso de producción, de comercialización o prestación de un servicio y que en él se consumen o que, si pasan a formar parte del producto final, su valor es insignificante. Por ejemplo: pega, lija, </w:t>
      </w:r>
      <w:proofErr w:type="spellStart"/>
      <w:r w:rsidRPr="00582936">
        <w:rPr>
          <w:rFonts w:ascii="Century Gothic" w:eastAsia="Calibri" w:hAnsi="Century Gothic" w:cs="Calibri"/>
          <w:iCs/>
          <w:color w:val="6E6E7C"/>
          <w:sz w:val="21"/>
          <w:szCs w:val="21"/>
        </w:rPr>
        <w:t>waipe</w:t>
      </w:r>
      <w:proofErr w:type="spellEnd"/>
      <w:r w:rsidRPr="00582936">
        <w:rPr>
          <w:rFonts w:ascii="Century Gothic" w:eastAsia="Calibri" w:hAnsi="Century Gothic" w:cs="Calibri"/>
          <w:iCs/>
          <w:color w:val="6E6E7C"/>
          <w:sz w:val="21"/>
          <w:szCs w:val="21"/>
        </w:rPr>
        <w:t>, picos, palas, etc.”</w:t>
      </w:r>
      <w:sdt>
        <w:sdtPr>
          <w:rPr>
            <w:rFonts w:ascii="Century Gothic" w:eastAsia="Calibri" w:hAnsi="Century Gothic" w:cs="Calibri"/>
            <w:iCs/>
            <w:color w:val="6E6E7C"/>
            <w:sz w:val="21"/>
            <w:szCs w:val="21"/>
          </w:rPr>
          <w:id w:val="322239474"/>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INEC \l 12298 </w:instrText>
          </w:r>
          <w:r w:rsidRPr="00582936">
            <w:rPr>
              <w:rFonts w:ascii="Century Gothic" w:eastAsia="Calibri" w:hAnsi="Century Gothic" w:cs="Calibri"/>
              <w:iCs/>
              <w:color w:val="6E6E7C"/>
              <w:sz w:val="21"/>
              <w:szCs w:val="21"/>
            </w:rPr>
            <w:fldChar w:fldCharType="separate"/>
          </w:r>
          <w:r w:rsidR="006E6B3C">
            <w:rPr>
              <w:rFonts w:ascii="Century Gothic" w:eastAsia="Calibri" w:hAnsi="Century Gothic" w:cs="Calibri"/>
              <w:iCs/>
              <w:noProof/>
              <w:color w:val="6E6E7C"/>
              <w:sz w:val="21"/>
              <w:szCs w:val="21"/>
            </w:rPr>
            <w:t xml:space="preserve"> </w:t>
          </w:r>
          <w:r w:rsidR="006E6B3C" w:rsidRPr="006E6B3C">
            <w:rPr>
              <w:rFonts w:ascii="Century Gothic" w:eastAsia="Calibri" w:hAnsi="Century Gothic" w:cs="Calibri"/>
              <w:noProof/>
              <w:color w:val="6E6E7C"/>
              <w:sz w:val="21"/>
              <w:szCs w:val="21"/>
            </w:rPr>
            <w:t>(INEC, 2011)</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1A3433AB"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bookmarkStart w:id="87" w:name="_Toc510521228"/>
      <w:r w:rsidRPr="00582936">
        <w:rPr>
          <w:rFonts w:ascii="Century Gothic" w:eastAsia="Calibri" w:hAnsi="Century Gothic" w:cs="Times New Roman"/>
          <w:b/>
          <w:bCs/>
          <w:iCs/>
          <w:color w:val="6E6E7C"/>
          <w:sz w:val="21"/>
          <w:szCs w:val="21"/>
        </w:rPr>
        <w:t xml:space="preserve">Personal </w:t>
      </w:r>
      <w:bookmarkEnd w:id="87"/>
      <w:r w:rsidRPr="00582936">
        <w:rPr>
          <w:rFonts w:ascii="Century Gothic" w:eastAsia="Calibri" w:hAnsi="Century Gothic" w:cs="Times New Roman"/>
          <w:b/>
          <w:bCs/>
          <w:iCs/>
          <w:color w:val="6E6E7C"/>
          <w:sz w:val="21"/>
          <w:szCs w:val="21"/>
        </w:rPr>
        <w:t>ocupado (afiliado)</w:t>
      </w:r>
    </w:p>
    <w:p w14:paraId="5FAEF56B" w14:textId="77777777" w:rsidR="006A74FA" w:rsidRPr="00582936" w:rsidRDefault="006A74FA" w:rsidP="006A74FA">
      <w:pPr>
        <w:spacing w:after="16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Comprende a todas las personas que trabajan para la empresa con la que mantiene una relación laboral formal, por el cual el trabajador presta su fuerza de trabajo para que se utilice en el proceso productivo que realiza la empresa y, como contraprestación, recibe una remuneración</w:t>
      </w:r>
      <w:sdt>
        <w:sdtPr>
          <w:rPr>
            <w:rFonts w:ascii="Century Gothic" w:eastAsia="Calibri" w:hAnsi="Century Gothic" w:cs="Calibri"/>
            <w:b/>
            <w:bCs/>
            <w:iCs/>
            <w:color w:val="6E6E7C"/>
            <w:sz w:val="21"/>
            <w:szCs w:val="21"/>
          </w:rPr>
          <w:id w:val="1413278071"/>
          <w:citation/>
        </w:sdtPr>
        <w:sdtEndPr>
          <w:rPr>
            <w:b w:val="0"/>
          </w:rPr>
        </w:sdtEndPr>
        <w:sdtContent>
          <w:r w:rsidRPr="00582936">
            <w:rPr>
              <w:rFonts w:ascii="Century Gothic" w:eastAsia="Calibri" w:hAnsi="Century Gothic" w:cs="Calibri"/>
              <w:bCs/>
              <w:iCs/>
              <w:color w:val="6E6E7C"/>
              <w:sz w:val="21"/>
              <w:szCs w:val="21"/>
            </w:rPr>
            <w:fldChar w:fldCharType="begin"/>
          </w:r>
          <w:r w:rsidRPr="00582936">
            <w:rPr>
              <w:rFonts w:ascii="Century Gothic" w:eastAsia="Calibri" w:hAnsi="Century Gothic" w:cs="Calibri"/>
              <w:bCs/>
              <w:iCs/>
              <w:color w:val="6E6E7C"/>
              <w:sz w:val="21"/>
              <w:szCs w:val="21"/>
            </w:rPr>
            <w:instrText xml:space="preserve">CITATION INE20 \l 12298 </w:instrText>
          </w:r>
          <w:r w:rsidRPr="00582936">
            <w:rPr>
              <w:rFonts w:ascii="Century Gothic" w:eastAsia="Calibri" w:hAnsi="Century Gothic" w:cs="Calibri"/>
              <w:bCs/>
              <w:iCs/>
              <w:color w:val="6E6E7C"/>
              <w:sz w:val="21"/>
              <w:szCs w:val="21"/>
            </w:rPr>
            <w:fldChar w:fldCharType="separate"/>
          </w:r>
          <w:r w:rsidR="006E6B3C">
            <w:rPr>
              <w:rFonts w:ascii="Century Gothic" w:eastAsia="Calibri" w:hAnsi="Century Gothic" w:cs="Calibri"/>
              <w:bCs/>
              <w:iCs/>
              <w:noProof/>
              <w:color w:val="6E6E7C"/>
              <w:sz w:val="21"/>
              <w:szCs w:val="21"/>
            </w:rPr>
            <w:t xml:space="preserve"> </w:t>
          </w:r>
          <w:r w:rsidR="006E6B3C" w:rsidRPr="006E6B3C">
            <w:rPr>
              <w:rFonts w:ascii="Century Gothic" w:eastAsia="Calibri" w:hAnsi="Century Gothic" w:cs="Calibri"/>
              <w:noProof/>
              <w:color w:val="6E6E7C"/>
              <w:sz w:val="21"/>
              <w:szCs w:val="21"/>
            </w:rPr>
            <w:t>(INEC, 2018)</w:t>
          </w:r>
          <w:r w:rsidRPr="00582936">
            <w:rPr>
              <w:rFonts w:ascii="Century Gothic" w:eastAsia="Calibri" w:hAnsi="Century Gothic" w:cs="Calibri"/>
              <w:bCs/>
              <w:iCs/>
              <w:color w:val="6E6E7C"/>
              <w:sz w:val="21"/>
              <w:szCs w:val="21"/>
            </w:rPr>
            <w:fldChar w:fldCharType="end"/>
          </w:r>
        </w:sdtContent>
      </w:sdt>
      <w:r w:rsidRPr="00582936">
        <w:rPr>
          <w:rFonts w:ascii="Century Gothic" w:eastAsia="Calibri" w:hAnsi="Century Gothic" w:cs="Calibri"/>
          <w:bCs/>
          <w:iCs/>
          <w:color w:val="6E6E7C"/>
          <w:sz w:val="21"/>
          <w:szCs w:val="21"/>
        </w:rPr>
        <w:t>.</w:t>
      </w:r>
    </w:p>
    <w:p w14:paraId="560A02F4"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Producción</w:t>
      </w:r>
    </w:p>
    <w:p w14:paraId="592038DC" w14:textId="77777777" w:rsidR="006A74FA" w:rsidRPr="00582936" w:rsidRDefault="006A74FA" w:rsidP="006A74FA">
      <w:pPr>
        <w:spacing w:after="200" w:line="276" w:lineRule="auto"/>
        <w:ind w:right="96"/>
        <w:jc w:val="both"/>
        <w:rPr>
          <w:rFonts w:ascii="Century Gothic" w:eastAsia="Calibri" w:hAnsi="Century Gothic" w:cs="Times New Roman"/>
          <w:iCs/>
          <w:color w:val="6E6E7C"/>
          <w:sz w:val="21"/>
          <w:szCs w:val="21"/>
        </w:rPr>
      </w:pPr>
      <w:r w:rsidRPr="00582936">
        <w:rPr>
          <w:rFonts w:ascii="Century Gothic" w:eastAsia="Times New Roman" w:hAnsi="Century Gothic" w:cs="Arial"/>
          <w:bCs/>
          <w:iCs/>
          <w:color w:val="6E6E7C"/>
          <w:sz w:val="21"/>
          <w:szCs w:val="21"/>
          <w:lang w:eastAsia="es-EC"/>
        </w:rPr>
        <w:t>Es la actividad económica que registra la generación de bienes y servicios, en el cual intervienen cuentas articuladas que indica el grado de utilización de todos los factores en el proceso de producción. Es una actividad realizada bajo la responsabilidad, el control y la gestión de una unidad institucional, en la que se utilizan insumos de mano de obra, capital y bienes y servicios para obtener otros bienes y servicios</w:t>
      </w:r>
      <w:r w:rsidRPr="00582936">
        <w:rPr>
          <w:rFonts w:ascii="Century Gothic" w:eastAsia="Calibri" w:hAnsi="Century Gothic" w:cs="Times New Roman"/>
          <w:iCs/>
          <w:color w:val="6E6E7C"/>
          <w:sz w:val="21"/>
          <w:szCs w:val="21"/>
        </w:rPr>
        <w:t xml:space="preserve"> </w:t>
      </w:r>
      <w:sdt>
        <w:sdtPr>
          <w:rPr>
            <w:rFonts w:ascii="Century Gothic" w:eastAsia="Calibri" w:hAnsi="Century Gothic" w:cs="Times New Roman"/>
            <w:iCs/>
            <w:color w:val="6E6E7C"/>
            <w:sz w:val="21"/>
            <w:szCs w:val="21"/>
          </w:rPr>
          <w:id w:val="-1012996373"/>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w:t>
      </w:r>
    </w:p>
    <w:p w14:paraId="4432312E"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Producto</w:t>
      </w:r>
      <w:bookmarkEnd w:id="85"/>
    </w:p>
    <w:p w14:paraId="549582B5" w14:textId="77777777" w:rsidR="006A74FA" w:rsidRPr="00582936" w:rsidRDefault="006A74FA" w:rsidP="006A74FA">
      <w:pPr>
        <w:tabs>
          <w:tab w:val="left" w:pos="567"/>
          <w:tab w:val="left" w:pos="850"/>
          <w:tab w:val="left" w:pos="1587"/>
        </w:tabs>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“Son bienes y servicios (incluidos los productos de captura del conocimiento) que son el resultado de un proceso de producción” </w:t>
      </w:r>
      <w:sdt>
        <w:sdtPr>
          <w:rPr>
            <w:rFonts w:ascii="Century Gothic" w:eastAsia="Calibri" w:hAnsi="Century Gothic" w:cs="Times New Roman"/>
            <w:iCs/>
            <w:color w:val="6E6E7C"/>
            <w:sz w:val="21"/>
            <w:szCs w:val="21"/>
          </w:rPr>
          <w:id w:val="537242551"/>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w:t>
      </w:r>
      <w:r w:rsidRPr="00582936">
        <w:rPr>
          <w:rFonts w:ascii="Century Gothic" w:eastAsia="Calibri" w:hAnsi="Century Gothic" w:cs="Calibri"/>
          <w:iCs/>
          <w:color w:val="6E6E7C"/>
          <w:sz w:val="21"/>
          <w:szCs w:val="21"/>
        </w:rPr>
        <w:t xml:space="preserve"> Por tanto, un </w:t>
      </w:r>
      <w:r w:rsidRPr="00582936">
        <w:rPr>
          <w:rFonts w:ascii="Century Gothic" w:eastAsia="Calibri" w:hAnsi="Century Gothic" w:cs="Calibri"/>
          <w:iCs/>
          <w:color w:val="6E6E7C"/>
          <w:sz w:val="21"/>
          <w:szCs w:val="21"/>
        </w:rPr>
        <w:lastRenderedPageBreak/>
        <w:t>producto abarca un conjunto de atributos tangibles e intangibles, tales como: empaque, color, precio, calidad, marca y otros</w:t>
      </w:r>
      <w:sdt>
        <w:sdtPr>
          <w:rPr>
            <w:rFonts w:ascii="Century Gothic" w:eastAsia="Calibri" w:hAnsi="Century Gothic" w:cs="Calibri"/>
            <w:iCs/>
            <w:color w:val="6E6E7C"/>
            <w:sz w:val="21"/>
            <w:szCs w:val="21"/>
          </w:rPr>
          <w:id w:val="-898516153"/>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INE20 \l 12298 </w:instrText>
          </w:r>
          <w:r w:rsidRPr="00582936">
            <w:rPr>
              <w:rFonts w:ascii="Century Gothic" w:eastAsia="Calibri" w:hAnsi="Century Gothic" w:cs="Calibri"/>
              <w:iCs/>
              <w:color w:val="6E6E7C"/>
              <w:sz w:val="21"/>
              <w:szCs w:val="21"/>
            </w:rPr>
            <w:fldChar w:fldCharType="separate"/>
          </w:r>
          <w:r w:rsidR="006E6B3C">
            <w:rPr>
              <w:rFonts w:ascii="Century Gothic" w:eastAsia="Calibri" w:hAnsi="Century Gothic" w:cs="Calibri"/>
              <w:iCs/>
              <w:noProof/>
              <w:color w:val="6E6E7C"/>
              <w:sz w:val="21"/>
              <w:szCs w:val="21"/>
            </w:rPr>
            <w:t xml:space="preserve"> </w:t>
          </w:r>
          <w:r w:rsidR="006E6B3C" w:rsidRPr="006E6B3C">
            <w:rPr>
              <w:rFonts w:ascii="Century Gothic" w:eastAsia="Calibri" w:hAnsi="Century Gothic" w:cs="Calibri"/>
              <w:noProof/>
              <w:color w:val="6E6E7C"/>
              <w:sz w:val="21"/>
              <w:szCs w:val="21"/>
            </w:rPr>
            <w:t>(INEC, 2018)</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06C44129" w14:textId="77777777" w:rsidR="006A74FA" w:rsidRPr="00582936" w:rsidRDefault="006A74FA" w:rsidP="006A74FA">
      <w:pPr>
        <w:spacing w:after="160" w:line="276" w:lineRule="auto"/>
        <w:rPr>
          <w:rFonts w:ascii="Century Gothic" w:eastAsia="Calibri" w:hAnsi="Century Gothic" w:cs="Times New Roman"/>
          <w:b/>
          <w:bCs/>
          <w:iCs/>
          <w:color w:val="6E6E7C"/>
          <w:sz w:val="21"/>
          <w:szCs w:val="21"/>
        </w:rPr>
      </w:pPr>
      <w:bookmarkStart w:id="88" w:name="_Toc510521222"/>
      <w:bookmarkStart w:id="89" w:name="_Toc510521219"/>
      <w:r w:rsidRPr="00582936">
        <w:rPr>
          <w:rFonts w:ascii="Century Gothic" w:eastAsia="Calibri" w:hAnsi="Century Gothic" w:cs="Times New Roman"/>
          <w:b/>
          <w:bCs/>
          <w:iCs/>
          <w:color w:val="6E6E7C"/>
          <w:sz w:val="21"/>
          <w:szCs w:val="21"/>
        </w:rPr>
        <w:t>Repuestos y Accesorios</w:t>
      </w:r>
      <w:bookmarkEnd w:id="88"/>
    </w:p>
    <w:p w14:paraId="3204687C" w14:textId="77777777" w:rsidR="006A74FA" w:rsidRPr="00582936" w:rsidRDefault="006A74FA" w:rsidP="006A74FA">
      <w:pPr>
        <w:tabs>
          <w:tab w:val="left" w:pos="567"/>
          <w:tab w:val="left" w:pos="3969"/>
          <w:tab w:val="left" w:pos="4280"/>
        </w:tabs>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“Son los bienes que se usan en la reparación y mantenimiento de la maquinaria y otros activos fijos, utilizados en la producción de bienes o en la prestación de servicios” </w:t>
      </w:r>
      <w:sdt>
        <w:sdtPr>
          <w:rPr>
            <w:rFonts w:ascii="Century Gothic" w:eastAsia="Calibri" w:hAnsi="Century Gothic" w:cs="Calibri"/>
            <w:iCs/>
            <w:color w:val="6E6E7C"/>
            <w:sz w:val="21"/>
            <w:szCs w:val="21"/>
          </w:rPr>
          <w:id w:val="-1548133999"/>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INEC \l 12298 </w:instrText>
          </w:r>
          <w:r w:rsidRPr="00582936">
            <w:rPr>
              <w:rFonts w:ascii="Century Gothic" w:eastAsia="Calibri" w:hAnsi="Century Gothic" w:cs="Calibri"/>
              <w:iCs/>
              <w:color w:val="6E6E7C"/>
              <w:sz w:val="21"/>
              <w:szCs w:val="21"/>
            </w:rPr>
            <w:fldChar w:fldCharType="separate"/>
          </w:r>
          <w:r w:rsidR="006E6B3C" w:rsidRPr="006E6B3C">
            <w:rPr>
              <w:rFonts w:ascii="Century Gothic" w:eastAsia="Calibri" w:hAnsi="Century Gothic" w:cs="Calibri"/>
              <w:noProof/>
              <w:color w:val="6E6E7C"/>
              <w:sz w:val="21"/>
              <w:szCs w:val="21"/>
            </w:rPr>
            <w:t>(INEC, 2011)</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w:t>
      </w:r>
    </w:p>
    <w:p w14:paraId="6E29256D" w14:textId="77777777" w:rsidR="006A74FA" w:rsidRPr="00582936" w:rsidRDefault="006A74FA" w:rsidP="006A74FA">
      <w:pPr>
        <w:tabs>
          <w:tab w:val="left" w:pos="709"/>
          <w:tab w:val="left" w:pos="3969"/>
          <w:tab w:val="left" w:pos="4280"/>
        </w:tabs>
        <w:spacing w:before="240"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Remuneraciones</w:t>
      </w:r>
    </w:p>
    <w:p w14:paraId="3B8DB245" w14:textId="77777777" w:rsidR="006A74FA" w:rsidRPr="00582936" w:rsidRDefault="006A74FA" w:rsidP="006A74FA">
      <w:pPr>
        <w:tabs>
          <w:tab w:val="left" w:pos="709"/>
          <w:tab w:val="left" w:pos="3969"/>
          <w:tab w:val="left" w:pos="4280"/>
        </w:tabs>
        <w:spacing w:after="200"/>
        <w:contextualSpacing/>
        <w:jc w:val="both"/>
        <w:rPr>
          <w:rFonts w:ascii="Century Gothic" w:eastAsia="Calibri" w:hAnsi="Century Gothic" w:cs="Calibri"/>
          <w:b/>
          <w:iCs/>
          <w:color w:val="6E6E7C"/>
          <w:sz w:val="21"/>
          <w:szCs w:val="21"/>
        </w:rPr>
      </w:pPr>
    </w:p>
    <w:p w14:paraId="45FCDBA8"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Son todos los pagos y aportaciones normales y extraordinarias, en dinero y especie, para retribuir el trabajo del personal dependiente de la razón social, en forma de salarios y sueldos, prestaciones sociales y utilidades repartidas al personal, ya sea que este pago se calcule sobre la base de una jornada de trabajo o por la cantidad de trabajo desarrollado (destajo), o mediante un salario base que se complementa con comisiones por ventas u otras actividades. Incluye: las contribuciones patronales a regímenes de seguridad social, el pago realizado al personal con licencia y permiso temporal. Excluye: los pagos por liquidaciones o indemnizaciones, pagos a terceros por el suministro de personal ocupado; pagos exclusivamente de comisiones para aquel personal que no recibió un sueldo base; pagos de honorarios por servicios profesionales contratados de manera infrecuente.</w:t>
      </w:r>
      <w:sdt>
        <w:sdtPr>
          <w:rPr>
            <w:rFonts w:ascii="Century Gothic" w:eastAsia="Calibri" w:hAnsi="Century Gothic" w:cs="Calibri"/>
            <w:iCs/>
            <w:color w:val="6E6E7C"/>
            <w:sz w:val="21"/>
            <w:szCs w:val="21"/>
          </w:rPr>
          <w:id w:val="-305943369"/>
          <w:citation/>
        </w:sdtPr>
        <w:sdtContent>
          <w:r w:rsidRPr="00582936">
            <w:rPr>
              <w:rFonts w:ascii="Century Gothic" w:eastAsia="Calibri" w:hAnsi="Century Gothic" w:cs="Calibri"/>
              <w:iCs/>
              <w:color w:val="6E6E7C"/>
              <w:sz w:val="21"/>
              <w:szCs w:val="21"/>
            </w:rPr>
            <w:fldChar w:fldCharType="begin"/>
          </w:r>
          <w:r w:rsidRPr="00582936">
            <w:rPr>
              <w:rFonts w:ascii="Century Gothic" w:eastAsia="Calibri" w:hAnsi="Century Gothic" w:cs="Calibri"/>
              <w:iCs/>
              <w:color w:val="6E6E7C"/>
              <w:sz w:val="21"/>
              <w:szCs w:val="21"/>
            </w:rPr>
            <w:instrText xml:space="preserve">CITATION Ins14 \l 12298 </w:instrText>
          </w:r>
          <w:r w:rsidRPr="00582936">
            <w:rPr>
              <w:rFonts w:ascii="Century Gothic" w:eastAsia="Calibri" w:hAnsi="Century Gothic" w:cs="Calibri"/>
              <w:iCs/>
              <w:color w:val="6E6E7C"/>
              <w:sz w:val="21"/>
              <w:szCs w:val="21"/>
            </w:rPr>
            <w:fldChar w:fldCharType="separate"/>
          </w:r>
          <w:r w:rsidR="006E6B3C">
            <w:rPr>
              <w:rFonts w:ascii="Century Gothic" w:eastAsia="Calibri" w:hAnsi="Century Gothic" w:cs="Calibri"/>
              <w:iCs/>
              <w:noProof/>
              <w:color w:val="6E6E7C"/>
              <w:sz w:val="21"/>
              <w:szCs w:val="21"/>
            </w:rPr>
            <w:t xml:space="preserve"> </w:t>
          </w:r>
          <w:r w:rsidR="006E6B3C" w:rsidRPr="006E6B3C">
            <w:rPr>
              <w:rFonts w:ascii="Century Gothic" w:eastAsia="Calibri" w:hAnsi="Century Gothic" w:cs="Calibri"/>
              <w:noProof/>
              <w:color w:val="6E6E7C"/>
              <w:sz w:val="21"/>
              <w:szCs w:val="21"/>
            </w:rPr>
            <w:t>(INEGI, 2014)</w:t>
          </w:r>
          <w:r w:rsidRPr="00582936">
            <w:rPr>
              <w:rFonts w:ascii="Century Gothic" w:eastAsia="Calibri" w:hAnsi="Century Gothic" w:cs="Calibri"/>
              <w:iCs/>
              <w:color w:val="6E6E7C"/>
              <w:sz w:val="21"/>
              <w:szCs w:val="21"/>
            </w:rPr>
            <w:fldChar w:fldCharType="end"/>
          </w:r>
        </w:sdtContent>
      </w:sdt>
      <w:r w:rsidRPr="00582936">
        <w:rPr>
          <w:rFonts w:ascii="Century Gothic" w:eastAsia="Calibri" w:hAnsi="Century Gothic" w:cs="Calibri"/>
          <w:iCs/>
          <w:color w:val="6E6E7C"/>
          <w:sz w:val="21"/>
          <w:szCs w:val="21"/>
        </w:rPr>
        <w:t>. Este cálculo se realiza sobre los valores brutos partiendo de la remuneración básica unificada que para el 2022 fue de $425,00.</w:t>
      </w:r>
    </w:p>
    <w:p w14:paraId="108386AA" w14:textId="77777777" w:rsidR="006A74FA" w:rsidRPr="00582936" w:rsidRDefault="006A74FA" w:rsidP="006A74FA">
      <w:pPr>
        <w:spacing w:before="240" w:after="200"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Servicios</w:t>
      </w:r>
    </w:p>
    <w:p w14:paraId="20D1D7F0" w14:textId="71F78D7F" w:rsidR="006A74FA" w:rsidRPr="00582936" w:rsidRDefault="00746E03" w:rsidP="00746E03">
      <w:pPr>
        <w:spacing w:after="200" w:line="276" w:lineRule="auto"/>
        <w:jc w:val="both"/>
        <w:rPr>
          <w:rFonts w:ascii="Century Gothic" w:eastAsia="Calibri" w:hAnsi="Century Gothic" w:cs="Times New Roman"/>
          <w:iCs/>
          <w:color w:val="6E6E7C"/>
          <w:sz w:val="21"/>
          <w:szCs w:val="21"/>
        </w:rPr>
      </w:pPr>
      <w:r w:rsidRPr="00746E03">
        <w:rPr>
          <w:rFonts w:ascii="Century Gothic" w:eastAsia="Calibri" w:hAnsi="Century Gothic" w:cs="Times New Roman"/>
          <w:iCs/>
          <w:color w:val="6E6E7C"/>
          <w:sz w:val="21"/>
          <w:szCs w:val="21"/>
        </w:rPr>
        <w:t>“Los servicios son el resultado de una actividad productiva que ca</w:t>
      </w:r>
      <w:r>
        <w:rPr>
          <w:rFonts w:ascii="Century Gothic" w:eastAsia="Calibri" w:hAnsi="Century Gothic" w:cs="Times New Roman"/>
          <w:iCs/>
          <w:color w:val="6E6E7C"/>
          <w:sz w:val="21"/>
          <w:szCs w:val="21"/>
        </w:rPr>
        <w:t xml:space="preserve">mbia las </w:t>
      </w:r>
      <w:r w:rsidRPr="00746E03">
        <w:rPr>
          <w:rFonts w:ascii="Century Gothic" w:eastAsia="Calibri" w:hAnsi="Century Gothic" w:cs="Times New Roman"/>
          <w:iCs/>
          <w:color w:val="6E6E7C"/>
          <w:sz w:val="21"/>
          <w:szCs w:val="21"/>
        </w:rPr>
        <w:t xml:space="preserve">condiciones de las unidades que los consumen o </w:t>
      </w:r>
      <w:r>
        <w:rPr>
          <w:rFonts w:ascii="Century Gothic" w:eastAsia="Calibri" w:hAnsi="Century Gothic" w:cs="Times New Roman"/>
          <w:iCs/>
          <w:color w:val="6E6E7C"/>
          <w:sz w:val="21"/>
          <w:szCs w:val="21"/>
        </w:rPr>
        <w:t xml:space="preserve">que facilita el intercambio de </w:t>
      </w:r>
      <w:r w:rsidRPr="00746E03">
        <w:rPr>
          <w:rFonts w:ascii="Century Gothic" w:eastAsia="Calibri" w:hAnsi="Century Gothic" w:cs="Times New Roman"/>
          <w:iCs/>
          <w:color w:val="6E6E7C"/>
          <w:sz w:val="21"/>
          <w:szCs w:val="21"/>
        </w:rPr>
        <w:t>productos o de activos financieros”</w:t>
      </w:r>
      <w:r>
        <w:rPr>
          <w:rFonts w:ascii="Century Gothic" w:eastAsia="Calibri" w:hAnsi="Century Gothic" w:cs="Times New Roman"/>
          <w:iCs/>
          <w:color w:val="6E6E7C"/>
          <w:sz w:val="21"/>
          <w:szCs w:val="21"/>
        </w:rPr>
        <w:t xml:space="preserve"> </w:t>
      </w:r>
      <w:sdt>
        <w:sdtPr>
          <w:rPr>
            <w:rFonts w:ascii="Century Gothic" w:eastAsia="Calibri" w:hAnsi="Century Gothic" w:cs="Times New Roman"/>
            <w:iCs/>
            <w:color w:val="6E6E7C"/>
            <w:sz w:val="21"/>
            <w:szCs w:val="21"/>
          </w:rPr>
          <w:id w:val="1995213129"/>
          <w:citation/>
        </w:sdtPr>
        <w:sdtContent>
          <w:r>
            <w:rPr>
              <w:rFonts w:ascii="Century Gothic" w:eastAsia="Calibri" w:hAnsi="Century Gothic" w:cs="Times New Roman"/>
              <w:iCs/>
              <w:color w:val="6E6E7C"/>
              <w:sz w:val="21"/>
              <w:szCs w:val="21"/>
            </w:rPr>
            <w:fldChar w:fldCharType="begin"/>
          </w:r>
          <w:r>
            <w:rPr>
              <w:rFonts w:ascii="Century Gothic" w:eastAsia="Calibri" w:hAnsi="Century Gothic" w:cs="Times New Roman"/>
              <w:iCs/>
              <w:color w:val="6E6E7C"/>
              <w:sz w:val="21"/>
              <w:szCs w:val="21"/>
              <w:lang w:val="es-ES"/>
            </w:rPr>
            <w:instrText xml:space="preserve">CITATION Org15 \l 3082 </w:instrText>
          </w:r>
          <w:r>
            <w:rPr>
              <w:rFonts w:ascii="Century Gothic" w:eastAsia="Calibri" w:hAnsi="Century Gothic" w:cs="Times New Roman"/>
              <w:iCs/>
              <w:color w:val="6E6E7C"/>
              <w:sz w:val="21"/>
              <w:szCs w:val="21"/>
            </w:rPr>
            <w:fldChar w:fldCharType="separate"/>
          </w:r>
          <w:r w:rsidRPr="00746E03">
            <w:rPr>
              <w:rFonts w:ascii="Century Gothic" w:eastAsia="Calibri" w:hAnsi="Century Gothic" w:cs="Times New Roman"/>
              <w:noProof/>
              <w:color w:val="6E6E7C"/>
              <w:sz w:val="21"/>
              <w:szCs w:val="21"/>
              <w:lang w:val="es-ES"/>
            </w:rPr>
            <w:t>(Organización de Naciones Unidas, 2015)</w:t>
          </w:r>
          <w:r>
            <w:rPr>
              <w:rFonts w:ascii="Century Gothic" w:eastAsia="Calibri" w:hAnsi="Century Gothic" w:cs="Times New Roman"/>
              <w:iCs/>
              <w:color w:val="6E6E7C"/>
              <w:sz w:val="21"/>
              <w:szCs w:val="21"/>
            </w:rPr>
            <w:fldChar w:fldCharType="end"/>
          </w:r>
        </w:sdtContent>
      </w:sdt>
    </w:p>
    <w:p w14:paraId="2D55E429" w14:textId="77777777" w:rsidR="006A74FA" w:rsidRPr="00582936" w:rsidRDefault="006A74FA" w:rsidP="006A74FA">
      <w:pPr>
        <w:spacing w:line="276" w:lineRule="auto"/>
        <w:jc w:val="both"/>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Unidad de Medida</w:t>
      </w:r>
      <w:bookmarkEnd w:id="89"/>
    </w:p>
    <w:p w14:paraId="67210716" w14:textId="77777777" w:rsidR="00746E03" w:rsidRPr="00746E03" w:rsidRDefault="00746E03" w:rsidP="006A74FA">
      <w:pPr>
        <w:tabs>
          <w:tab w:val="left" w:pos="709"/>
          <w:tab w:val="left" w:pos="3969"/>
          <w:tab w:val="left" w:pos="4280"/>
        </w:tabs>
        <w:spacing w:before="240" w:line="276" w:lineRule="auto"/>
        <w:contextualSpacing/>
        <w:jc w:val="both"/>
        <w:rPr>
          <w:rFonts w:ascii="Century Gothic" w:eastAsia="Calibri" w:hAnsi="Century Gothic" w:cs="Times New Roman"/>
          <w:iCs/>
          <w:color w:val="6E6E7C"/>
          <w:sz w:val="12"/>
          <w:szCs w:val="21"/>
        </w:rPr>
      </w:pPr>
    </w:p>
    <w:p w14:paraId="31F1C3FE" w14:textId="77777777" w:rsidR="00746E03" w:rsidRPr="00746E03" w:rsidRDefault="00746E03" w:rsidP="006A74FA">
      <w:pPr>
        <w:tabs>
          <w:tab w:val="left" w:pos="709"/>
          <w:tab w:val="left" w:pos="3969"/>
          <w:tab w:val="left" w:pos="4280"/>
        </w:tabs>
        <w:spacing w:before="240" w:line="276" w:lineRule="auto"/>
        <w:contextualSpacing/>
        <w:jc w:val="both"/>
        <w:rPr>
          <w:rFonts w:ascii="Century Gothic" w:eastAsia="Calibri" w:hAnsi="Century Gothic" w:cs="Times New Roman"/>
          <w:iCs/>
          <w:color w:val="6E6E7C"/>
          <w:sz w:val="21"/>
          <w:szCs w:val="21"/>
        </w:rPr>
      </w:pPr>
      <w:r w:rsidRPr="00746E03">
        <w:rPr>
          <w:rFonts w:ascii="Century Gothic" w:eastAsia="Calibri" w:hAnsi="Century Gothic" w:cs="Times New Roman"/>
          <w:iCs/>
          <w:color w:val="6E6E7C"/>
          <w:sz w:val="21"/>
          <w:szCs w:val="21"/>
        </w:rPr>
        <w:t xml:space="preserve">Se refiere al tipo de unidad (longitud, peso, volumen, superficie) que la empresa informante utiliza para la cuantificación tanto de la materia prima consumida como de los productos elaborados. El nombre de la unidad de medida es aquella que corresponde al Sistema Internacional de Pesas y Medidas (SI) salvo en aquellos casos en los que su denominación responde a designaciones comunes o convencionales, utilizadas en cada sector económico. </w:t>
      </w:r>
    </w:p>
    <w:p w14:paraId="3994440C" w14:textId="77777777" w:rsidR="00746E03" w:rsidRDefault="00746E03" w:rsidP="006A74FA">
      <w:pPr>
        <w:tabs>
          <w:tab w:val="left" w:pos="709"/>
          <w:tab w:val="left" w:pos="3969"/>
          <w:tab w:val="left" w:pos="4280"/>
        </w:tabs>
        <w:spacing w:before="240" w:line="276" w:lineRule="auto"/>
        <w:contextualSpacing/>
        <w:jc w:val="both"/>
      </w:pPr>
    </w:p>
    <w:p w14:paraId="5EE39AD9" w14:textId="22F8B068" w:rsidR="006A74FA" w:rsidRPr="00582936" w:rsidRDefault="006A74FA" w:rsidP="006A74FA">
      <w:pPr>
        <w:tabs>
          <w:tab w:val="left" w:pos="709"/>
          <w:tab w:val="left" w:pos="3969"/>
          <w:tab w:val="left" w:pos="4280"/>
        </w:tabs>
        <w:spacing w:before="240" w:line="276" w:lineRule="auto"/>
        <w:contextualSpacing/>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Valor agregado</w:t>
      </w:r>
    </w:p>
    <w:p w14:paraId="5CB86A72" w14:textId="77777777" w:rsidR="006A74FA" w:rsidRPr="00582936" w:rsidRDefault="006A74FA" w:rsidP="006A74FA">
      <w:pPr>
        <w:tabs>
          <w:tab w:val="left" w:pos="709"/>
          <w:tab w:val="left" w:pos="3969"/>
          <w:tab w:val="left" w:pos="4280"/>
        </w:tabs>
        <w:spacing w:before="240" w:after="200" w:line="276" w:lineRule="auto"/>
        <w:contextualSpacing/>
        <w:jc w:val="both"/>
        <w:rPr>
          <w:rFonts w:ascii="Century Gothic" w:eastAsia="Times New Roman" w:hAnsi="Century Gothic" w:cs="Arial"/>
          <w:bCs/>
          <w:iCs/>
          <w:color w:val="6E6E7C"/>
          <w:sz w:val="21"/>
          <w:szCs w:val="21"/>
          <w:lang w:eastAsia="es-EC"/>
        </w:rPr>
      </w:pPr>
    </w:p>
    <w:p w14:paraId="29D87BAB" w14:textId="77777777" w:rsidR="006A74FA" w:rsidRPr="00582936" w:rsidRDefault="006A74FA" w:rsidP="006A74FA">
      <w:pPr>
        <w:tabs>
          <w:tab w:val="left" w:pos="709"/>
          <w:tab w:val="left" w:pos="3969"/>
          <w:tab w:val="left" w:pos="4280"/>
        </w:tabs>
        <w:spacing w:before="240" w:after="200" w:line="276" w:lineRule="auto"/>
        <w:contextualSpacing/>
        <w:jc w:val="both"/>
        <w:rPr>
          <w:rFonts w:ascii="Century Gothic" w:eastAsia="Calibri" w:hAnsi="Century Gothic" w:cs="Times New Roman"/>
          <w:iCs/>
          <w:color w:val="6E6E7C"/>
          <w:sz w:val="21"/>
          <w:szCs w:val="21"/>
        </w:rPr>
      </w:pPr>
      <w:r w:rsidRPr="00582936">
        <w:rPr>
          <w:rFonts w:ascii="Century Gothic" w:eastAsia="Times New Roman" w:hAnsi="Century Gothic" w:cs="Arial"/>
          <w:bCs/>
          <w:iCs/>
          <w:color w:val="6E6E7C"/>
          <w:sz w:val="21"/>
          <w:szCs w:val="21"/>
          <w:lang w:eastAsia="es-EC"/>
        </w:rPr>
        <w:t>Se define como el valor de la producción, menos el valor del consumo intermedio, y es una medida de la contribución al PIB hecha por una unidad de producción, industria o sector; este saldo contable puede expresarse en términos brutos o netos, según contenga o no el consumo de capital fijo</w:t>
      </w:r>
      <w:sdt>
        <w:sdtPr>
          <w:rPr>
            <w:rFonts w:ascii="Century Gothic" w:eastAsia="Calibri" w:hAnsi="Century Gothic" w:cs="Times New Roman"/>
            <w:iCs/>
            <w:color w:val="6E6E7C"/>
            <w:sz w:val="21"/>
            <w:szCs w:val="21"/>
          </w:rPr>
          <w:id w:val="992991297"/>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Pr>
              <w:rFonts w:ascii="Century Gothic" w:eastAsia="Calibri" w:hAnsi="Century Gothic" w:cs="Times New Roman"/>
              <w:iCs/>
              <w:noProof/>
              <w:color w:val="6E6E7C"/>
              <w:sz w:val="21"/>
              <w:szCs w:val="21"/>
            </w:rPr>
            <w:t xml:space="preserve"> </w:t>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w:t>
      </w:r>
    </w:p>
    <w:p w14:paraId="710D2A4E" w14:textId="77777777" w:rsidR="006A74FA" w:rsidRPr="00BD0CD2" w:rsidRDefault="006A74FA" w:rsidP="006A74FA">
      <w:pPr>
        <w:pStyle w:val="Estilo1"/>
        <w:numPr>
          <w:ilvl w:val="2"/>
          <w:numId w:val="1"/>
        </w:numPr>
        <w:spacing w:before="240" w:line="276" w:lineRule="auto"/>
        <w:rPr>
          <w:rFonts w:eastAsia="Times New Roman" w:cs="Open Sans"/>
          <w:bCs/>
          <w:color w:val="6E6E7C"/>
          <w:sz w:val="24"/>
          <w:szCs w:val="21"/>
          <w:lang w:eastAsia="es-ES_tradnl"/>
        </w:rPr>
      </w:pPr>
      <w:bookmarkStart w:id="90" w:name="_Toc126657980"/>
      <w:bookmarkStart w:id="91" w:name="_Toc148617331"/>
      <w:bookmarkStart w:id="92" w:name="_Toc161322543"/>
      <w:r w:rsidRPr="00BD0CD2">
        <w:rPr>
          <w:rFonts w:eastAsia="Times New Roman" w:cs="Open Sans"/>
          <w:bCs/>
          <w:color w:val="6E6E7C"/>
          <w:sz w:val="24"/>
          <w:szCs w:val="21"/>
          <w:lang w:eastAsia="es-ES_tradnl"/>
        </w:rPr>
        <w:lastRenderedPageBreak/>
        <w:t>Referentes y recomendaciones internacionales</w:t>
      </w:r>
      <w:bookmarkEnd w:id="90"/>
      <w:bookmarkEnd w:id="91"/>
      <w:bookmarkEnd w:id="92"/>
    </w:p>
    <w:p w14:paraId="211CF4B7" w14:textId="77777777" w:rsidR="006A74FA" w:rsidRPr="00582936" w:rsidRDefault="006A74FA" w:rsidP="006A74FA">
      <w:pPr>
        <w:tabs>
          <w:tab w:val="left" w:pos="993"/>
        </w:tabs>
        <w:spacing w:before="240" w:after="24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La ENESEM sigue recomendaciones internacionales como el Sistema de Cuentas Nacionales (SCN 2008), el Manual de Recomendaciones internacionales para estadísticas industriales y Recomendaciones internacionales sobre estadísticas del comercio de distribución.</w:t>
      </w:r>
    </w:p>
    <w:p w14:paraId="6EE4C60D" w14:textId="77777777" w:rsidR="006A74FA" w:rsidRPr="00582936" w:rsidRDefault="006A74FA" w:rsidP="006A74FA">
      <w:pPr>
        <w:tabs>
          <w:tab w:val="left" w:pos="993"/>
        </w:tabs>
        <w:spacing w:after="24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El SCN 2008 es un documento publicado por la Comisión Europea (CE), Fondo Monetario Internacional (FMI), Naciones Unidas (NNUU), Banco Mundial (BM) y la Organización para la Cooperación y el Desarrollo Económico (OCDE) que constituye un conjunto completo, coherente y flexible de cuentas macroeconómicas para la formulación de políticas, análisis y propósitos de investigación, por lo que constituye el marco central normalizado y aceptado internacionalmente, de recomendaciones respecto a la elaboración de mediciones de la actividad económica, a través de una serie de conceptos, definiciones, clasificaciones y reglas contables, cuadros y cuentas totalmente integrados, cuya finalidad es medir partidas e indicadores, como el Producto Interno Bruto (PIB). El SCN permite elaborar y presentar los datos económicos para realizar análisis, toma de decisiones y formulación de política económica. Así también, cuantifica las complejas interacciones que se generan entre los agentes y actividades de una economía; a través del registro completo y pormenorizado de las relaciones que tienen lugar en los mercados o en otros ámbitos. En este documento se basa la aplicación de la metodología de la ENESEM.</w:t>
      </w:r>
    </w:p>
    <w:p w14:paraId="598EDC0E" w14:textId="77777777" w:rsidR="006A74FA" w:rsidRPr="00582936" w:rsidRDefault="006A74FA" w:rsidP="006A74FA">
      <w:pPr>
        <w:tabs>
          <w:tab w:val="left" w:pos="993"/>
        </w:tabs>
        <w:spacing w:after="24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Cabe mencionar que, las recomendaciones internacionales para estadísticas industriales se formularon por primera vez en 1953, y se revisan periódicamente. La Comisión de Estadística de las Naciones Unidas apoyó en su 37º período de sesiones en 2006, la propuesta de revisión de esta recomendación, con el fin de reflejar los últimos avances en el entorno económico y la metodología estadística</w:t>
      </w:r>
      <w:r w:rsidRPr="00582936">
        <w:rPr>
          <w:rFonts w:ascii="Century Gothic" w:eastAsia="Calibri" w:hAnsi="Century Gothic" w:cs="Times New Roman"/>
          <w:iCs/>
          <w:color w:val="6E6E7C"/>
          <w:sz w:val="21"/>
          <w:szCs w:val="21"/>
          <w:vertAlign w:val="superscript"/>
        </w:rPr>
        <w:footnoteReference w:id="10"/>
      </w:r>
      <w:r w:rsidRPr="00582936">
        <w:rPr>
          <w:rFonts w:ascii="Century Gothic" w:eastAsia="Calibri" w:hAnsi="Century Gothic" w:cs="Times New Roman"/>
          <w:iCs/>
          <w:color w:val="6E6E7C"/>
          <w:sz w:val="21"/>
          <w:szCs w:val="21"/>
        </w:rPr>
        <w:t>.</w:t>
      </w:r>
    </w:p>
    <w:p w14:paraId="589CDE53" w14:textId="77777777" w:rsidR="006A74FA" w:rsidRPr="00BD0CD2" w:rsidRDefault="006A74FA" w:rsidP="006A74FA">
      <w:pPr>
        <w:pStyle w:val="Estilo1"/>
        <w:numPr>
          <w:ilvl w:val="2"/>
          <w:numId w:val="1"/>
        </w:numPr>
        <w:spacing w:before="240" w:line="276" w:lineRule="auto"/>
        <w:rPr>
          <w:rFonts w:eastAsia="Times New Roman" w:cs="Open Sans"/>
          <w:bCs/>
          <w:color w:val="6E6E7C"/>
          <w:sz w:val="24"/>
          <w:szCs w:val="21"/>
          <w:lang w:eastAsia="es-ES_tradnl"/>
        </w:rPr>
      </w:pPr>
      <w:bookmarkStart w:id="93" w:name="_Toc126657981"/>
      <w:bookmarkStart w:id="94" w:name="_Toc148617332"/>
      <w:bookmarkStart w:id="95" w:name="_Toc161322544"/>
      <w:r w:rsidRPr="00BD0CD2">
        <w:rPr>
          <w:rFonts w:eastAsia="Times New Roman" w:cs="Open Sans"/>
          <w:bCs/>
          <w:color w:val="6E6E7C"/>
          <w:sz w:val="24"/>
          <w:szCs w:val="21"/>
          <w:lang w:eastAsia="es-ES_tradnl"/>
        </w:rPr>
        <w:t>Clasificaciones</w:t>
      </w:r>
      <w:bookmarkEnd w:id="93"/>
      <w:r w:rsidRPr="00BD0CD2">
        <w:rPr>
          <w:rFonts w:eastAsia="Times New Roman" w:cs="Open Sans"/>
          <w:bCs/>
          <w:color w:val="6E6E7C"/>
          <w:sz w:val="24"/>
          <w:szCs w:val="21"/>
          <w:lang w:eastAsia="es-ES_tradnl"/>
        </w:rPr>
        <w:t xml:space="preserve"> y nomenclaturas</w:t>
      </w:r>
      <w:bookmarkEnd w:id="94"/>
      <w:bookmarkEnd w:id="95"/>
    </w:p>
    <w:p w14:paraId="1509FCCF" w14:textId="77777777" w:rsidR="006A74FA" w:rsidRPr="00582936" w:rsidRDefault="006A74FA" w:rsidP="006A74FA">
      <w:pPr>
        <w:spacing w:after="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En la investigación de la ENESEM se utiliza un conjunto coherente de nomenclaturas y clasificaciones con el fin de obtener estadísticas debidamente homologadas y sistematizadas. La clasificación de los agentes económicos según el SCN 2008 se la realiza desde las ópticas del "establecimiento” y de la “unidad institucional”. </w:t>
      </w:r>
    </w:p>
    <w:p w14:paraId="3B343ED5" w14:textId="77777777" w:rsidR="006A74FA" w:rsidRPr="00582936" w:rsidRDefault="006A74FA" w:rsidP="006A74FA">
      <w:pPr>
        <w:spacing w:after="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La nomenclatura de industrias o ramas de actividad clasifica a las unidades productivas, empresas o establecimientos de acuerdo con la actividad económica principal que realizan, con base a la </w:t>
      </w:r>
      <w:r w:rsidRPr="00582936">
        <w:rPr>
          <w:rFonts w:ascii="Century Gothic" w:eastAsia="Times New Roman" w:hAnsi="Century Gothic" w:cs="Arial"/>
          <w:iCs/>
          <w:color w:val="6E6E7C"/>
          <w:sz w:val="21"/>
          <w:szCs w:val="21"/>
          <w:lang w:eastAsia="es-EC"/>
        </w:rPr>
        <w:t>Clasificación Internacional Industrial Uniforme</w:t>
      </w:r>
      <w:r w:rsidRPr="00582936">
        <w:rPr>
          <w:rFonts w:ascii="Century Gothic" w:eastAsia="Times New Roman" w:hAnsi="Century Gothic" w:cs="Arial"/>
          <w:bCs/>
          <w:iCs/>
          <w:color w:val="6E6E7C"/>
          <w:sz w:val="21"/>
          <w:szCs w:val="21"/>
          <w:lang w:eastAsia="es-EC"/>
        </w:rPr>
        <w:t xml:space="preserve"> (CIIU Rev.4.0). Una actividad económica es la que permite analizar un determinado proceso de producción mediante el cual, una empresa o un establecimiento combina los factores de producción, insumos, maquinaria, equipo y técnicas productivas para obtener una producción homogénea de bienes y servicios. </w:t>
      </w:r>
    </w:p>
    <w:p w14:paraId="5E5B3C9B" w14:textId="77777777" w:rsidR="006A74FA" w:rsidRPr="00582936" w:rsidRDefault="006A74FA" w:rsidP="006A74FA">
      <w:pPr>
        <w:spacing w:after="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lastRenderedPageBreak/>
        <w:t>En este aspecto, la ENESEM trabaja con las siguientes clasificaciones utilizadas para la codificación de variables:</w:t>
      </w:r>
    </w:p>
    <w:p w14:paraId="6D30EE3B" w14:textId="77777777" w:rsidR="006A74FA" w:rsidRPr="00582936" w:rsidRDefault="006A74FA" w:rsidP="006A74FA">
      <w:pPr>
        <w:spacing w:after="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
          <w:iCs/>
          <w:color w:val="6E6E7C"/>
          <w:sz w:val="21"/>
          <w:szCs w:val="21"/>
          <w:lang w:eastAsia="es-EC"/>
        </w:rPr>
        <w:t>Clasificación Internacional Industrial Uniforme (CIIU Rev. 4.0):</w:t>
      </w:r>
      <w:r w:rsidRPr="00582936">
        <w:rPr>
          <w:rFonts w:ascii="Century Gothic" w:eastAsia="Times New Roman" w:hAnsi="Century Gothic" w:cs="Arial"/>
          <w:bCs/>
          <w:iCs/>
          <w:color w:val="6E6E7C"/>
          <w:sz w:val="21"/>
          <w:szCs w:val="21"/>
          <w:lang w:eastAsia="es-EC"/>
        </w:rPr>
        <w:t xml:space="preserve"> </w:t>
      </w:r>
      <w:r w:rsidR="00F51473">
        <w:rPr>
          <w:rFonts w:ascii="Century Gothic" w:eastAsia="Times New Roman" w:hAnsi="Century Gothic" w:cs="Arial"/>
          <w:bCs/>
          <w:iCs/>
          <w:color w:val="6E6E7C"/>
          <w:sz w:val="21"/>
          <w:szCs w:val="21"/>
          <w:lang w:eastAsia="es-EC"/>
        </w:rPr>
        <w:t xml:space="preserve">Clasificación que permite </w:t>
      </w:r>
      <w:r w:rsidRPr="00582936">
        <w:rPr>
          <w:rFonts w:ascii="Century Gothic" w:eastAsia="Times New Roman" w:hAnsi="Century Gothic" w:cs="Arial"/>
          <w:bCs/>
          <w:iCs/>
          <w:color w:val="6E6E7C"/>
          <w:sz w:val="21"/>
          <w:szCs w:val="21"/>
          <w:lang w:eastAsia="es-EC"/>
        </w:rPr>
        <w:t>mantener una uniformidad en materia de clasificación de la rama de actividad, que garantice la comparabilidad nacional e internacional, y que simplifique su ordenamiento y rasgos relevantes mediante agrupaciones diferenciadas, lo que facilita la recolección, procesamiento y análisis de la información.</w:t>
      </w:r>
    </w:p>
    <w:p w14:paraId="09304B2B" w14:textId="77777777" w:rsidR="006A74FA" w:rsidRPr="00582936" w:rsidRDefault="006A74FA" w:rsidP="006A74FA">
      <w:pPr>
        <w:spacing w:after="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
          <w:iCs/>
          <w:color w:val="6E6E7C"/>
          <w:sz w:val="21"/>
          <w:szCs w:val="21"/>
          <w:lang w:eastAsia="es-EC"/>
        </w:rPr>
        <w:t>Clasificación Central de Productos (CPC ver. 2.0)</w:t>
      </w:r>
      <w:r w:rsidRPr="00582936">
        <w:rPr>
          <w:rFonts w:ascii="Century Gothic" w:eastAsia="Times New Roman" w:hAnsi="Century Gothic" w:cs="Arial"/>
          <w:bCs/>
          <w:iCs/>
          <w:color w:val="6E6E7C"/>
          <w:sz w:val="21"/>
          <w:szCs w:val="21"/>
          <w:lang w:eastAsia="es-EC"/>
        </w:rPr>
        <w:t>: Se basa en las particularidades físicas de los bienes y en la naturaleza de los servicios; cabe indicar que debe existir una estrecha relación entre las nomenclaturas de industrias y de productos.</w:t>
      </w:r>
    </w:p>
    <w:p w14:paraId="1CC05C4F" w14:textId="77777777" w:rsidR="006A74FA" w:rsidRPr="00582936" w:rsidRDefault="006A74FA" w:rsidP="006A74FA">
      <w:pPr>
        <w:spacing w:after="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
          <w:iCs/>
          <w:color w:val="6E6E7C"/>
          <w:sz w:val="21"/>
          <w:szCs w:val="21"/>
          <w:lang w:eastAsia="es-EC"/>
        </w:rPr>
        <w:t xml:space="preserve">Clasificación Internacional Uniforme de Ocupaciones (CIUO 08): </w:t>
      </w:r>
      <w:r w:rsidRPr="00582936">
        <w:rPr>
          <w:rFonts w:ascii="Century Gothic" w:eastAsia="Times New Roman" w:hAnsi="Century Gothic" w:cs="Arial"/>
          <w:bCs/>
          <w:iCs/>
          <w:color w:val="6E6E7C"/>
          <w:sz w:val="21"/>
          <w:szCs w:val="21"/>
          <w:lang w:eastAsia="es-EC"/>
        </w:rPr>
        <w:t>Es un sistema organizado de información sobre las diferentes ocupaciones de la población económicamente activa.</w:t>
      </w:r>
    </w:p>
    <w:p w14:paraId="1AA1F235"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Calibri"/>
          <w:b/>
          <w:iCs/>
          <w:color w:val="6E6E7C"/>
          <w:sz w:val="21"/>
          <w:szCs w:val="21"/>
        </w:rPr>
        <w:t xml:space="preserve">División Política Administrativa (DPA 2022): </w:t>
      </w:r>
      <w:r w:rsidRPr="00582936">
        <w:rPr>
          <w:rFonts w:ascii="Century Gothic" w:eastAsia="Calibri" w:hAnsi="Century Gothic" w:cs="Calibri"/>
          <w:bCs/>
          <w:iCs/>
          <w:color w:val="6E6E7C"/>
          <w:sz w:val="21"/>
          <w:szCs w:val="21"/>
        </w:rPr>
        <w:t>Es</w:t>
      </w:r>
      <w:r w:rsidRPr="00582936">
        <w:rPr>
          <w:rFonts w:ascii="Century Gothic" w:eastAsia="Calibri" w:hAnsi="Century Gothic" w:cs="Calibri"/>
          <w:iCs/>
          <w:color w:val="6E6E7C"/>
          <w:sz w:val="21"/>
          <w:szCs w:val="21"/>
        </w:rPr>
        <w:t xml:space="preserve"> un documento que permite clasificar y</w:t>
      </w:r>
      <w:r w:rsidRPr="00582936">
        <w:rPr>
          <w:rFonts w:ascii="Century Gothic" w:eastAsia="Calibri" w:hAnsi="Century Gothic" w:cs="Times New Roman"/>
          <w:iCs/>
          <w:color w:val="6E6E7C"/>
          <w:sz w:val="21"/>
          <w:szCs w:val="21"/>
        </w:rPr>
        <w:t xml:space="preserve"> </w:t>
      </w:r>
      <w:r w:rsidRPr="00582936">
        <w:rPr>
          <w:rFonts w:ascii="Century Gothic" w:eastAsia="Calibri" w:hAnsi="Century Gothic" w:cs="Calibri"/>
          <w:iCs/>
          <w:color w:val="6E6E7C"/>
          <w:sz w:val="21"/>
          <w:szCs w:val="21"/>
        </w:rPr>
        <w:t xml:space="preserve">homologar la nomenclatura correspondiente a las provincias, cantones y parroquias (urbanas y rurales) del país, así como sus respectivas cabeceras o sedes administrativas. </w:t>
      </w:r>
    </w:p>
    <w:p w14:paraId="51D594DF" w14:textId="77777777" w:rsidR="006A74FA" w:rsidRPr="00BD0CD2" w:rsidRDefault="006A74FA" w:rsidP="006A74FA">
      <w:pPr>
        <w:pStyle w:val="Ttulo2"/>
        <w:numPr>
          <w:ilvl w:val="1"/>
          <w:numId w:val="1"/>
        </w:numPr>
        <w:spacing w:before="0" w:line="276" w:lineRule="auto"/>
        <w:jc w:val="both"/>
        <w:rPr>
          <w:rFonts w:eastAsiaTheme="minorHAnsi" w:cstheme="minorBidi"/>
          <w:bCs/>
          <w:color w:val="6E6E7C"/>
          <w:sz w:val="28"/>
          <w:szCs w:val="44"/>
        </w:rPr>
      </w:pPr>
      <w:bookmarkStart w:id="96" w:name="_Toc126657982"/>
      <w:bookmarkStart w:id="97" w:name="_Toc148617333"/>
      <w:bookmarkStart w:id="98" w:name="_Toc161322545"/>
      <w:r w:rsidRPr="00BD0CD2">
        <w:rPr>
          <w:rFonts w:eastAsiaTheme="minorHAnsi" w:cstheme="minorBidi"/>
          <w:bCs/>
          <w:color w:val="6E6E7C"/>
          <w:sz w:val="28"/>
          <w:szCs w:val="44"/>
        </w:rPr>
        <w:t>Limitaciones del estudio</w:t>
      </w:r>
      <w:bookmarkEnd w:id="96"/>
      <w:bookmarkEnd w:id="97"/>
      <w:bookmarkEnd w:id="98"/>
    </w:p>
    <w:p w14:paraId="09BD2301" w14:textId="77777777" w:rsidR="006A74FA" w:rsidRPr="00582936" w:rsidRDefault="006A74FA" w:rsidP="006A74FA">
      <w:pPr>
        <w:spacing w:before="240" w:after="160" w:line="276" w:lineRule="auto"/>
        <w:jc w:val="both"/>
        <w:rPr>
          <w:rFonts w:ascii="Century Gothic" w:eastAsia="Calibri" w:hAnsi="Century Gothic" w:cs="Times New Roman"/>
          <w:bCs/>
          <w:iCs/>
          <w:color w:val="6E6E7C"/>
          <w:sz w:val="21"/>
          <w:szCs w:val="21"/>
          <w:lang w:eastAsia="es-EC"/>
        </w:rPr>
      </w:pPr>
      <w:r w:rsidRPr="00582936">
        <w:rPr>
          <w:rFonts w:ascii="Century Gothic" w:eastAsia="Calibri" w:hAnsi="Century Gothic" w:cs="Times New Roman"/>
          <w:bCs/>
          <w:iCs/>
          <w:color w:val="6E6E7C"/>
          <w:sz w:val="21"/>
          <w:szCs w:val="21"/>
          <w:lang w:eastAsia="es-EC"/>
        </w:rPr>
        <w:t>Como se ha indicado, la investigación provee información estadística estructural empresarial de los sectores: manufactura, minería, construcción, comercio y servicios; sin embargo, ésta no está exenta de limitaciones; entre otras se mencionan las siguientes:</w:t>
      </w:r>
    </w:p>
    <w:p w14:paraId="37F497BC" w14:textId="77777777" w:rsidR="00B909F4" w:rsidRDefault="006A74FA" w:rsidP="00A02A19">
      <w:pPr>
        <w:pStyle w:val="Prrafodelista"/>
        <w:numPr>
          <w:ilvl w:val="0"/>
          <w:numId w:val="5"/>
        </w:numPr>
        <w:rPr>
          <w:rFonts w:ascii="Century Gothic" w:eastAsia="Times New Roman" w:hAnsi="Century Gothic" w:cs="Arial"/>
          <w:iCs/>
          <w:color w:val="6E6E7C"/>
          <w:sz w:val="21"/>
          <w:szCs w:val="21"/>
          <w:lang w:eastAsia="es-EC"/>
        </w:rPr>
      </w:pPr>
      <w:r w:rsidRPr="00A02A19">
        <w:rPr>
          <w:rFonts w:ascii="Century Gothic" w:eastAsia="Times New Roman" w:hAnsi="Century Gothic" w:cs="Arial"/>
          <w:iCs/>
          <w:color w:val="6E6E7C"/>
          <w:sz w:val="21"/>
          <w:szCs w:val="21"/>
          <w:lang w:eastAsia="es-EC"/>
        </w:rPr>
        <w:t>Los resultados de la publicación excluyen</w:t>
      </w:r>
      <w:r w:rsidR="00B909F4">
        <w:rPr>
          <w:rFonts w:ascii="Century Gothic" w:eastAsia="Times New Roman" w:hAnsi="Century Gothic" w:cs="Arial"/>
          <w:iCs/>
          <w:color w:val="6E6E7C"/>
          <w:sz w:val="21"/>
          <w:szCs w:val="21"/>
          <w:lang w:eastAsia="es-EC"/>
        </w:rPr>
        <w:t>:</w:t>
      </w:r>
    </w:p>
    <w:p w14:paraId="3D6DCDE1" w14:textId="77777777" w:rsidR="00A02A19" w:rsidRPr="00B909F4" w:rsidRDefault="006A74FA" w:rsidP="00E5524A">
      <w:pPr>
        <w:pStyle w:val="Prrafodelista"/>
        <w:numPr>
          <w:ilvl w:val="0"/>
          <w:numId w:val="38"/>
        </w:numPr>
        <w:ind w:left="993"/>
        <w:rPr>
          <w:rFonts w:ascii="Century Gothic" w:eastAsia="Times New Roman" w:hAnsi="Century Gothic" w:cs="Arial"/>
          <w:iCs/>
          <w:color w:val="6E6E7C"/>
          <w:sz w:val="21"/>
          <w:szCs w:val="21"/>
          <w:lang w:eastAsia="es-EC"/>
        </w:rPr>
      </w:pPr>
      <w:r w:rsidRPr="00B909F4">
        <w:rPr>
          <w:rFonts w:ascii="Century Gothic" w:eastAsia="Times New Roman" w:hAnsi="Century Gothic" w:cs="Arial"/>
          <w:iCs/>
          <w:color w:val="6E6E7C"/>
          <w:sz w:val="21"/>
          <w:szCs w:val="21"/>
          <w:lang w:eastAsia="es-EC"/>
        </w:rPr>
        <w:t xml:space="preserve"> encuestas no efectivas (8,1 %), dicho porcentaje incluye aquellos casos de empresas que, debido a la dinámica empresarial en la economía, cambian </w:t>
      </w:r>
      <w:r w:rsidRPr="00396E06">
        <w:rPr>
          <w:rFonts w:ascii="Century Gothic" w:eastAsia="Times New Roman" w:hAnsi="Century Gothic" w:cs="Arial"/>
          <w:iCs/>
          <w:color w:val="6E6E7C"/>
          <w:sz w:val="21"/>
          <w:szCs w:val="21"/>
          <w:lang w:eastAsia="es-EC"/>
        </w:rPr>
        <w:t xml:space="preserve">de tamaño, a pequeñas o microempresas y no se encuentran dentro del alcance de la investigación.  </w:t>
      </w:r>
      <w:r w:rsidR="00A02A19" w:rsidRPr="00B909F4">
        <w:rPr>
          <w:rFonts w:ascii="Century Gothic" w:eastAsia="Times New Roman" w:hAnsi="Century Gothic" w:cs="Arial"/>
          <w:iCs/>
          <w:color w:val="6E6E7C"/>
          <w:sz w:val="21"/>
          <w:szCs w:val="21"/>
          <w:lang w:eastAsia="es-EC"/>
        </w:rPr>
        <w:t>Empresas cuya actividad económica principal, de acuerdo con la sección de</w:t>
      </w:r>
      <w:r w:rsidR="00A02A19" w:rsidRPr="00396E06">
        <w:rPr>
          <w:rFonts w:ascii="Century Gothic" w:eastAsia="Times New Roman" w:hAnsi="Century Gothic" w:cs="Arial"/>
          <w:iCs/>
          <w:color w:val="6E6E7C"/>
          <w:sz w:val="21"/>
          <w:szCs w:val="21"/>
          <w:lang w:eastAsia="es-EC"/>
        </w:rPr>
        <w:t xml:space="preserve"> Cl</w:t>
      </w:r>
      <w:r w:rsidR="00A02A19" w:rsidRPr="003C4B04">
        <w:rPr>
          <w:rFonts w:ascii="Century Gothic" w:eastAsia="Times New Roman" w:hAnsi="Century Gothic" w:cs="Arial"/>
          <w:iCs/>
          <w:color w:val="6E6E7C"/>
          <w:sz w:val="21"/>
          <w:szCs w:val="21"/>
          <w:lang w:eastAsia="es-EC"/>
        </w:rPr>
        <w:t>asificación Industrial Internacional Uniforme de Actividades Económicas</w:t>
      </w:r>
      <w:r w:rsidR="00A02A19" w:rsidRPr="005E61B6">
        <w:rPr>
          <w:rFonts w:ascii="Century Gothic" w:eastAsia="Times New Roman" w:hAnsi="Century Gothic" w:cs="Arial"/>
          <w:iCs/>
          <w:color w:val="6E6E7C"/>
          <w:sz w:val="21"/>
          <w:szCs w:val="21"/>
          <w:lang w:eastAsia="es-EC"/>
        </w:rPr>
        <w:t xml:space="preserve"> </w:t>
      </w:r>
      <w:r w:rsidR="00A02A19" w:rsidRPr="00774831">
        <w:rPr>
          <w:rFonts w:ascii="Century Gothic" w:eastAsia="Times New Roman" w:hAnsi="Century Gothic" w:cs="Arial"/>
          <w:iCs/>
          <w:color w:val="6E6E7C"/>
          <w:sz w:val="21"/>
          <w:szCs w:val="21"/>
          <w:lang w:eastAsia="es-EC"/>
        </w:rPr>
        <w:t>Revisión (CIIU-4), corresponden a Agricultura (A), Administración Pública (O),</w:t>
      </w:r>
      <w:r w:rsidR="00A02A19" w:rsidRPr="00B909F4">
        <w:rPr>
          <w:rFonts w:ascii="Century Gothic" w:eastAsia="Times New Roman" w:hAnsi="Century Gothic" w:cs="Arial"/>
          <w:iCs/>
          <w:color w:val="6E6E7C"/>
          <w:sz w:val="21"/>
          <w:szCs w:val="21"/>
          <w:lang w:eastAsia="es-EC"/>
        </w:rPr>
        <w:t xml:space="preserve"> Actividades de hogares (T) y Actividades de organizaciones (U).</w:t>
      </w:r>
    </w:p>
    <w:p w14:paraId="38800EA0" w14:textId="77777777" w:rsidR="00A02A19" w:rsidRPr="00A02A19" w:rsidRDefault="00A02A19" w:rsidP="00E5524A">
      <w:pPr>
        <w:pStyle w:val="Prrafodelista"/>
        <w:numPr>
          <w:ilvl w:val="0"/>
          <w:numId w:val="38"/>
        </w:numPr>
        <w:ind w:left="993"/>
        <w:rPr>
          <w:rFonts w:ascii="Century Gothic" w:eastAsia="Times New Roman" w:hAnsi="Century Gothic" w:cs="Arial"/>
          <w:iCs/>
          <w:color w:val="6E6E7C"/>
          <w:sz w:val="21"/>
          <w:szCs w:val="21"/>
          <w:lang w:eastAsia="es-EC"/>
        </w:rPr>
      </w:pPr>
      <w:r w:rsidRPr="00A02A19">
        <w:rPr>
          <w:rFonts w:ascii="Century Gothic" w:eastAsia="Times New Roman" w:hAnsi="Century Gothic" w:cs="Arial"/>
          <w:iCs/>
          <w:color w:val="6E6E7C"/>
          <w:sz w:val="21"/>
          <w:szCs w:val="21"/>
          <w:lang w:eastAsia="es-EC"/>
        </w:rPr>
        <w:t>Empresas de las siguientes divisiones del CIIU:</w:t>
      </w:r>
    </w:p>
    <w:p w14:paraId="23BDDA75" w14:textId="77777777" w:rsidR="00A02A19" w:rsidRDefault="00A02A19" w:rsidP="00A02A19">
      <w:pPr>
        <w:pStyle w:val="Prrafodelista"/>
        <w:numPr>
          <w:ilvl w:val="0"/>
          <w:numId w:val="4"/>
        </w:numPr>
        <w:ind w:left="1276" w:hanging="284"/>
        <w:rPr>
          <w:rFonts w:ascii="Century Gothic" w:eastAsia="Times New Roman" w:hAnsi="Century Gothic" w:cs="Arial"/>
          <w:iCs/>
          <w:color w:val="6E6E7C"/>
          <w:sz w:val="21"/>
          <w:szCs w:val="21"/>
          <w:lang w:eastAsia="es-EC"/>
        </w:rPr>
      </w:pPr>
      <w:r w:rsidRPr="00A02A19">
        <w:rPr>
          <w:rFonts w:ascii="Century Gothic" w:eastAsia="Times New Roman" w:hAnsi="Century Gothic" w:cs="Arial"/>
          <w:iCs/>
          <w:color w:val="6E6E7C"/>
          <w:sz w:val="21"/>
          <w:szCs w:val="21"/>
          <w:lang w:eastAsia="es-EC"/>
        </w:rPr>
        <w:t>Actividades de servicio financiero, excepto de seguros (K64).</w:t>
      </w:r>
    </w:p>
    <w:p w14:paraId="4572752C" w14:textId="77777777" w:rsidR="00A02A19" w:rsidRDefault="00A02A19" w:rsidP="00A02A19">
      <w:pPr>
        <w:pStyle w:val="Prrafodelista"/>
        <w:numPr>
          <w:ilvl w:val="0"/>
          <w:numId w:val="4"/>
        </w:numPr>
        <w:ind w:left="1276" w:hanging="284"/>
        <w:rPr>
          <w:rFonts w:ascii="Century Gothic" w:eastAsia="Times New Roman" w:hAnsi="Century Gothic" w:cs="Arial"/>
          <w:iCs/>
          <w:color w:val="6E6E7C"/>
          <w:sz w:val="21"/>
          <w:szCs w:val="21"/>
          <w:lang w:eastAsia="es-EC"/>
        </w:rPr>
      </w:pPr>
      <w:r w:rsidRPr="00A02A19">
        <w:rPr>
          <w:rFonts w:ascii="Century Gothic" w:eastAsia="Times New Roman" w:hAnsi="Century Gothic" w:cs="Arial"/>
          <w:iCs/>
          <w:color w:val="6E6E7C"/>
          <w:sz w:val="21"/>
          <w:szCs w:val="21"/>
          <w:lang w:eastAsia="es-EC"/>
        </w:rPr>
        <w:t>Actividades auxiliares de servicio financiero (K66).</w:t>
      </w:r>
    </w:p>
    <w:p w14:paraId="5305FB70" w14:textId="77777777" w:rsidR="00A02A19" w:rsidRDefault="00A02A19" w:rsidP="00A02A19">
      <w:pPr>
        <w:pStyle w:val="Prrafodelista"/>
        <w:numPr>
          <w:ilvl w:val="0"/>
          <w:numId w:val="4"/>
        </w:numPr>
        <w:ind w:left="1276" w:hanging="284"/>
        <w:rPr>
          <w:rFonts w:ascii="Century Gothic" w:eastAsia="Times New Roman" w:hAnsi="Century Gothic" w:cs="Arial"/>
          <w:iCs/>
          <w:color w:val="6E6E7C"/>
          <w:sz w:val="21"/>
          <w:szCs w:val="21"/>
          <w:lang w:eastAsia="es-EC"/>
        </w:rPr>
      </w:pPr>
      <w:r w:rsidRPr="00A02A19">
        <w:rPr>
          <w:rFonts w:ascii="Century Gothic" w:eastAsia="Times New Roman" w:hAnsi="Century Gothic" w:cs="Arial"/>
          <w:iCs/>
          <w:color w:val="6E6E7C"/>
          <w:sz w:val="21"/>
          <w:szCs w:val="21"/>
          <w:lang w:eastAsia="es-EC"/>
        </w:rPr>
        <w:t>Actividades de Asistencia Social sin alojamiento (Q88).</w:t>
      </w:r>
    </w:p>
    <w:p w14:paraId="278BEB74" w14:textId="77777777" w:rsidR="00A02A19" w:rsidRDefault="00A02A19" w:rsidP="00A02A19">
      <w:pPr>
        <w:pStyle w:val="Prrafodelista"/>
        <w:numPr>
          <w:ilvl w:val="0"/>
          <w:numId w:val="4"/>
        </w:numPr>
        <w:ind w:left="1276" w:hanging="284"/>
        <w:rPr>
          <w:rFonts w:ascii="Century Gothic" w:eastAsia="Times New Roman" w:hAnsi="Century Gothic" w:cs="Arial"/>
          <w:iCs/>
          <w:color w:val="6E6E7C"/>
          <w:sz w:val="21"/>
          <w:szCs w:val="21"/>
          <w:lang w:eastAsia="es-EC"/>
        </w:rPr>
      </w:pPr>
      <w:r w:rsidRPr="00A02A19">
        <w:rPr>
          <w:rFonts w:ascii="Century Gothic" w:eastAsia="Times New Roman" w:hAnsi="Century Gothic" w:cs="Arial"/>
          <w:iCs/>
          <w:color w:val="6E6E7C"/>
          <w:sz w:val="21"/>
          <w:szCs w:val="21"/>
          <w:lang w:eastAsia="es-EC"/>
        </w:rPr>
        <w:t>Actividades de Asociaciones (S94).</w:t>
      </w:r>
    </w:p>
    <w:p w14:paraId="3DD48CF8" w14:textId="77777777" w:rsidR="00A02A19" w:rsidRDefault="00A02A19" w:rsidP="00E5524A">
      <w:pPr>
        <w:pStyle w:val="Prrafodelista"/>
        <w:numPr>
          <w:ilvl w:val="0"/>
          <w:numId w:val="38"/>
        </w:numPr>
        <w:ind w:left="993"/>
        <w:rPr>
          <w:rFonts w:ascii="Century Gothic" w:eastAsia="Times New Roman" w:hAnsi="Century Gothic" w:cs="Arial"/>
          <w:iCs/>
          <w:color w:val="6E6E7C"/>
          <w:sz w:val="21"/>
          <w:szCs w:val="21"/>
          <w:lang w:eastAsia="es-EC"/>
        </w:rPr>
      </w:pPr>
      <w:r>
        <w:rPr>
          <w:rFonts w:ascii="Century Gothic" w:eastAsia="Times New Roman" w:hAnsi="Century Gothic" w:cs="Arial"/>
          <w:iCs/>
          <w:color w:val="6E6E7C"/>
          <w:sz w:val="21"/>
          <w:szCs w:val="21"/>
          <w:lang w:eastAsia="es-EC"/>
        </w:rPr>
        <w:t>E</w:t>
      </w:r>
      <w:r w:rsidRPr="00A02A19">
        <w:rPr>
          <w:rFonts w:ascii="Century Gothic" w:eastAsia="Times New Roman" w:hAnsi="Century Gothic" w:cs="Arial"/>
          <w:iCs/>
          <w:color w:val="6E6E7C"/>
          <w:sz w:val="21"/>
          <w:szCs w:val="21"/>
          <w:lang w:eastAsia="es-EC"/>
        </w:rPr>
        <w:t xml:space="preserve">mpresas con forma institucional </w:t>
      </w:r>
      <w:r w:rsidR="00F51473">
        <w:rPr>
          <w:rStyle w:val="Refdenotaalpie"/>
          <w:rFonts w:ascii="Century Gothic" w:eastAsia="Times New Roman" w:hAnsi="Century Gothic" w:cs="Arial"/>
          <w:iCs/>
          <w:color w:val="6E6E7C"/>
          <w:sz w:val="21"/>
          <w:szCs w:val="21"/>
          <w:lang w:eastAsia="es-EC"/>
        </w:rPr>
        <w:footnoteReference w:id="11"/>
      </w:r>
      <w:r w:rsidRPr="00A02A19">
        <w:rPr>
          <w:rFonts w:ascii="Century Gothic" w:eastAsia="Times New Roman" w:hAnsi="Century Gothic" w:cs="Arial"/>
          <w:iCs/>
          <w:color w:val="6E6E7C"/>
          <w:sz w:val="21"/>
          <w:szCs w:val="21"/>
          <w:lang w:eastAsia="es-EC"/>
        </w:rPr>
        <w:t>“Institución Pública”.</w:t>
      </w:r>
    </w:p>
    <w:p w14:paraId="1E30D90B" w14:textId="77777777" w:rsidR="00A02A19" w:rsidRDefault="00A02A19" w:rsidP="00E5524A">
      <w:pPr>
        <w:pStyle w:val="Prrafodelista"/>
        <w:numPr>
          <w:ilvl w:val="0"/>
          <w:numId w:val="38"/>
        </w:numPr>
        <w:ind w:left="993"/>
        <w:rPr>
          <w:rFonts w:ascii="Century Gothic" w:eastAsia="Times New Roman" w:hAnsi="Century Gothic" w:cs="Arial"/>
          <w:iCs/>
          <w:color w:val="6E6E7C"/>
          <w:sz w:val="21"/>
          <w:szCs w:val="21"/>
          <w:lang w:eastAsia="es-EC"/>
        </w:rPr>
      </w:pPr>
      <w:r>
        <w:rPr>
          <w:rFonts w:ascii="Century Gothic" w:eastAsia="Times New Roman" w:hAnsi="Century Gothic" w:cs="Arial"/>
          <w:iCs/>
          <w:color w:val="6E6E7C"/>
          <w:sz w:val="21"/>
          <w:szCs w:val="21"/>
          <w:lang w:eastAsia="es-EC"/>
        </w:rPr>
        <w:lastRenderedPageBreak/>
        <w:t>Empresas</w:t>
      </w:r>
      <w:r w:rsidRPr="00A02A19">
        <w:rPr>
          <w:rFonts w:ascii="Century Gothic" w:eastAsia="Times New Roman" w:hAnsi="Century Gothic" w:cs="Arial"/>
          <w:iCs/>
          <w:color w:val="6E6E7C"/>
          <w:sz w:val="21"/>
          <w:szCs w:val="21"/>
          <w:lang w:eastAsia="es-EC"/>
        </w:rPr>
        <w:t xml:space="preserve"> reportadas como no ubicadas de acuerdo con la variable</w:t>
      </w:r>
      <w:r>
        <w:rPr>
          <w:rFonts w:ascii="Century Gothic" w:eastAsia="Times New Roman" w:hAnsi="Century Gothic" w:cs="Arial"/>
          <w:iCs/>
          <w:color w:val="6E6E7C"/>
          <w:sz w:val="21"/>
          <w:szCs w:val="21"/>
          <w:lang w:eastAsia="es-EC"/>
        </w:rPr>
        <w:t xml:space="preserve"> </w:t>
      </w:r>
      <w:r w:rsidRPr="00A02A19">
        <w:rPr>
          <w:rFonts w:ascii="Century Gothic" w:eastAsia="Times New Roman" w:hAnsi="Century Gothic" w:cs="Arial"/>
          <w:iCs/>
          <w:color w:val="6E6E7C"/>
          <w:sz w:val="21"/>
          <w:szCs w:val="21"/>
          <w:lang w:eastAsia="es-EC"/>
        </w:rPr>
        <w:t>“emp</w:t>
      </w:r>
      <w:r>
        <w:rPr>
          <w:rFonts w:ascii="Century Gothic" w:eastAsia="Times New Roman" w:hAnsi="Century Gothic" w:cs="Arial"/>
          <w:iCs/>
          <w:color w:val="6E6E7C"/>
          <w:sz w:val="21"/>
          <w:szCs w:val="21"/>
          <w:lang w:eastAsia="es-EC"/>
        </w:rPr>
        <w:t xml:space="preserve">resas no ubicadas” del </w:t>
      </w:r>
      <w:r w:rsidR="00C85D4E">
        <w:rPr>
          <w:rFonts w:ascii="Century Gothic" w:eastAsia="Times New Roman" w:hAnsi="Century Gothic" w:cs="Arial"/>
          <w:iCs/>
          <w:color w:val="6E6E7C"/>
          <w:sz w:val="21"/>
          <w:szCs w:val="21"/>
          <w:lang w:eastAsia="es-EC"/>
        </w:rPr>
        <w:t>REEM</w:t>
      </w:r>
      <w:r>
        <w:rPr>
          <w:rFonts w:ascii="Century Gothic" w:eastAsia="Times New Roman" w:hAnsi="Century Gothic" w:cs="Arial"/>
          <w:iCs/>
          <w:color w:val="6E6E7C"/>
          <w:sz w:val="21"/>
          <w:szCs w:val="21"/>
          <w:lang w:eastAsia="es-EC"/>
        </w:rPr>
        <w:t xml:space="preserve"> 2021</w:t>
      </w:r>
      <w:r w:rsidRPr="00A02A19">
        <w:rPr>
          <w:rFonts w:ascii="Century Gothic" w:eastAsia="Times New Roman" w:hAnsi="Century Gothic" w:cs="Arial"/>
          <w:iCs/>
          <w:color w:val="6E6E7C"/>
          <w:sz w:val="21"/>
          <w:szCs w:val="21"/>
          <w:lang w:eastAsia="es-EC"/>
        </w:rPr>
        <w:t>.</w:t>
      </w:r>
    </w:p>
    <w:p w14:paraId="53033165" w14:textId="77777777" w:rsidR="00A02A19" w:rsidRPr="00A02A19" w:rsidRDefault="00A02A19" w:rsidP="00E5524A">
      <w:pPr>
        <w:pStyle w:val="Prrafodelista"/>
        <w:numPr>
          <w:ilvl w:val="0"/>
          <w:numId w:val="38"/>
        </w:numPr>
        <w:ind w:left="993"/>
        <w:rPr>
          <w:rFonts w:ascii="Century Gothic" w:eastAsia="Times New Roman" w:hAnsi="Century Gothic" w:cs="Arial"/>
          <w:iCs/>
          <w:color w:val="6E6E7C"/>
          <w:sz w:val="21"/>
          <w:szCs w:val="21"/>
          <w:lang w:eastAsia="es-EC"/>
        </w:rPr>
      </w:pPr>
      <w:r>
        <w:rPr>
          <w:rFonts w:ascii="Century Gothic" w:eastAsia="Times New Roman" w:hAnsi="Century Gothic" w:cs="Arial"/>
          <w:iCs/>
          <w:color w:val="6E6E7C"/>
          <w:sz w:val="21"/>
          <w:szCs w:val="21"/>
          <w:lang w:eastAsia="es-EC"/>
        </w:rPr>
        <w:t>E</w:t>
      </w:r>
      <w:r w:rsidRPr="00A02A19">
        <w:rPr>
          <w:rFonts w:ascii="Century Gothic" w:eastAsia="Times New Roman" w:hAnsi="Century Gothic" w:cs="Arial"/>
          <w:iCs/>
          <w:color w:val="6E6E7C"/>
          <w:sz w:val="21"/>
          <w:szCs w:val="21"/>
          <w:lang w:eastAsia="es-EC"/>
        </w:rPr>
        <w:t>mpresas grandes y medianas “B” con forma institucional</w:t>
      </w:r>
      <w:r>
        <w:rPr>
          <w:rFonts w:ascii="Century Gothic" w:eastAsia="Times New Roman" w:hAnsi="Century Gothic" w:cs="Arial"/>
          <w:iCs/>
          <w:color w:val="6E6E7C"/>
          <w:sz w:val="21"/>
          <w:szCs w:val="21"/>
          <w:lang w:eastAsia="es-EC"/>
        </w:rPr>
        <w:t xml:space="preserve"> </w:t>
      </w:r>
      <w:r w:rsidRPr="00A02A19">
        <w:rPr>
          <w:rFonts w:ascii="Century Gothic" w:eastAsia="Times New Roman" w:hAnsi="Century Gothic" w:cs="Arial"/>
          <w:iCs/>
          <w:color w:val="6E6E7C"/>
          <w:sz w:val="21"/>
          <w:szCs w:val="21"/>
          <w:lang w:eastAsia="es-EC"/>
        </w:rPr>
        <w:t>“Personas naturales no obligadas a llevar contabilidad”.</w:t>
      </w:r>
    </w:p>
    <w:p w14:paraId="3C8AC496" w14:textId="77777777" w:rsidR="006A74FA" w:rsidRPr="00582936" w:rsidRDefault="006A74FA" w:rsidP="006A74FA">
      <w:pPr>
        <w:numPr>
          <w:ilvl w:val="0"/>
          <w:numId w:val="4"/>
        </w:numPr>
        <w:spacing w:after="200" w:line="276" w:lineRule="auto"/>
        <w:contextualSpacing/>
        <w:jc w:val="both"/>
        <w:rPr>
          <w:rFonts w:ascii="Century Gothic" w:eastAsia="Times New Roman" w:hAnsi="Century Gothic" w:cs="Arial"/>
          <w:iCs/>
          <w:color w:val="6E6E7C"/>
          <w:sz w:val="21"/>
          <w:szCs w:val="21"/>
          <w:lang w:eastAsia="es-EC"/>
        </w:rPr>
      </w:pPr>
      <w:r w:rsidRPr="00582936">
        <w:rPr>
          <w:rFonts w:ascii="Century Gothic" w:eastAsia="Times New Roman" w:hAnsi="Century Gothic" w:cs="Arial"/>
          <w:iCs/>
          <w:color w:val="6E6E7C"/>
          <w:sz w:val="21"/>
          <w:szCs w:val="21"/>
          <w:lang w:eastAsia="es-EC"/>
        </w:rPr>
        <w:t xml:space="preserve">Los resultados de la encuesta se presentan </w:t>
      </w:r>
      <w:r w:rsidR="00BD0CD2" w:rsidRPr="00582936">
        <w:rPr>
          <w:rFonts w:ascii="Century Gothic" w:eastAsia="Times New Roman" w:hAnsi="Century Gothic" w:cs="Arial"/>
          <w:iCs/>
          <w:color w:val="6E6E7C"/>
          <w:sz w:val="21"/>
          <w:szCs w:val="21"/>
          <w:lang w:eastAsia="es-EC"/>
        </w:rPr>
        <w:t>de acuerdo con</w:t>
      </w:r>
      <w:r w:rsidRPr="00582936">
        <w:rPr>
          <w:rFonts w:ascii="Century Gothic" w:eastAsia="Times New Roman" w:hAnsi="Century Gothic" w:cs="Arial"/>
          <w:iCs/>
          <w:color w:val="6E6E7C"/>
          <w:sz w:val="21"/>
          <w:szCs w:val="21"/>
          <w:lang w:eastAsia="es-EC"/>
        </w:rPr>
        <w:t xml:space="preserve"> la desagregación de la sección CIIU (letra) y según tamaño de empresas: grandes y medianas tipo A y B. El alcance del diseño muestral y la cobertura de la investigación garantiza representatividad para estos dominios. Por tanto, no se recomienda inferir resultados a un nivel de mayor desagregación de la CIIU, </w:t>
      </w:r>
      <w:r w:rsidR="00BD0CD2" w:rsidRPr="00582936">
        <w:rPr>
          <w:rFonts w:ascii="Century Gothic" w:eastAsia="Times New Roman" w:hAnsi="Century Gothic" w:cs="Arial"/>
          <w:iCs/>
          <w:color w:val="6E6E7C"/>
          <w:sz w:val="21"/>
          <w:szCs w:val="21"/>
          <w:lang w:eastAsia="es-EC"/>
        </w:rPr>
        <w:t>con relación al</w:t>
      </w:r>
      <w:r w:rsidRPr="00582936">
        <w:rPr>
          <w:rFonts w:ascii="Century Gothic" w:eastAsia="Times New Roman" w:hAnsi="Century Gothic" w:cs="Arial"/>
          <w:iCs/>
          <w:color w:val="6E6E7C"/>
          <w:sz w:val="21"/>
          <w:szCs w:val="21"/>
          <w:lang w:eastAsia="es-EC"/>
        </w:rPr>
        <w:t xml:space="preserve"> especificado.</w:t>
      </w:r>
    </w:p>
    <w:p w14:paraId="32A4809D" w14:textId="77777777" w:rsidR="006A74FA" w:rsidRPr="00582936" w:rsidRDefault="006A74FA" w:rsidP="006A74FA">
      <w:pPr>
        <w:numPr>
          <w:ilvl w:val="0"/>
          <w:numId w:val="4"/>
        </w:numPr>
        <w:spacing w:after="200" w:line="276" w:lineRule="auto"/>
        <w:contextualSpacing/>
        <w:jc w:val="both"/>
        <w:rPr>
          <w:rFonts w:ascii="Century Gothic" w:eastAsia="Times New Roman" w:hAnsi="Century Gothic" w:cs="Arial"/>
          <w:iCs/>
          <w:color w:val="6E6E7C"/>
          <w:sz w:val="21"/>
          <w:szCs w:val="21"/>
          <w:lang w:eastAsia="es-EC"/>
        </w:rPr>
      </w:pPr>
      <w:r w:rsidRPr="00582936">
        <w:rPr>
          <w:rFonts w:ascii="Century Gothic" w:eastAsia="Times New Roman" w:hAnsi="Century Gothic" w:cs="Arial"/>
          <w:iCs/>
          <w:color w:val="6E6E7C"/>
          <w:sz w:val="21"/>
          <w:szCs w:val="21"/>
          <w:lang w:eastAsia="es-EC"/>
        </w:rPr>
        <w:t xml:space="preserve">Los investigadores, académicos, estudiantes y demás usuarios de la información deben considerar que para la generación de resultados se realiza un análisis de representatividad; esto en virtud de que la variable de diseño de la muestra fue la denominada “Ventas totales 2021” del </w:t>
      </w:r>
      <w:r w:rsidRPr="00582936">
        <w:rPr>
          <w:rFonts w:ascii="Century Gothic" w:eastAsia="Calibri" w:hAnsi="Century Gothic" w:cs="Times New Roman"/>
          <w:iCs/>
          <w:color w:val="6E6E7C"/>
          <w:sz w:val="21"/>
          <w:szCs w:val="21"/>
          <w:lang w:eastAsia="es-EC"/>
        </w:rPr>
        <w:t>Registro Estadístico de Empresas</w:t>
      </w:r>
      <w:r w:rsidRPr="00582936">
        <w:rPr>
          <w:rFonts w:ascii="Century Gothic" w:eastAsia="Times New Roman" w:hAnsi="Century Gothic" w:cs="Arial"/>
          <w:iCs/>
          <w:color w:val="6E6E7C"/>
          <w:sz w:val="21"/>
          <w:szCs w:val="21"/>
          <w:lang w:eastAsia="es-EC"/>
        </w:rPr>
        <w:t xml:space="preserve"> (REEM-2021). En este sentido, si se generan resultados a distintos niveles de desagregación, el resultado se debe analizar con cautela; considerando la relación con la variable de diseño.</w:t>
      </w:r>
    </w:p>
    <w:p w14:paraId="6BE6E3DE" w14:textId="77777777" w:rsidR="00396E06" w:rsidRDefault="006A74FA" w:rsidP="006A74FA">
      <w:pPr>
        <w:numPr>
          <w:ilvl w:val="0"/>
          <w:numId w:val="4"/>
        </w:numPr>
        <w:spacing w:before="240" w:after="200" w:line="276" w:lineRule="auto"/>
        <w:contextualSpacing/>
        <w:jc w:val="both"/>
        <w:rPr>
          <w:rFonts w:ascii="Century Gothic" w:eastAsia="Times New Roman" w:hAnsi="Century Gothic" w:cs="Arial"/>
          <w:iCs/>
          <w:color w:val="6E6E7C"/>
          <w:sz w:val="21"/>
          <w:szCs w:val="21"/>
          <w:lang w:eastAsia="es-EC"/>
        </w:rPr>
      </w:pPr>
      <w:r w:rsidRPr="00582936">
        <w:rPr>
          <w:rFonts w:ascii="Century Gothic" w:eastAsia="Times New Roman" w:hAnsi="Century Gothic" w:cs="Arial"/>
          <w:iCs/>
          <w:color w:val="6E6E7C"/>
          <w:sz w:val="21"/>
          <w:szCs w:val="21"/>
          <w:lang w:eastAsia="es-EC"/>
        </w:rPr>
        <w:t xml:space="preserve">La ENESEM es una encuesta que posee un muestreo probabilístico de elementos con selección aleatoria, se realiza un censo de empresas grandes de los sectores investigados, que forzosamente deben incluirse y, una selección aleatoria probabilística de empresas medianas. </w:t>
      </w:r>
      <w:r w:rsidR="00396E06">
        <w:rPr>
          <w:rFonts w:ascii="Century Gothic" w:eastAsia="Times New Roman" w:hAnsi="Century Gothic" w:cs="Arial"/>
          <w:iCs/>
          <w:color w:val="6E6E7C"/>
          <w:sz w:val="21"/>
          <w:szCs w:val="21"/>
          <w:lang w:eastAsia="es-EC"/>
        </w:rPr>
        <w:br w:type="page"/>
      </w:r>
    </w:p>
    <w:p w14:paraId="13C0BDE0" w14:textId="77777777" w:rsidR="006A74FA" w:rsidRPr="00582936" w:rsidRDefault="006A74FA" w:rsidP="006A74FA">
      <w:pPr>
        <w:pStyle w:val="Ttulo3"/>
        <w:numPr>
          <w:ilvl w:val="0"/>
          <w:numId w:val="1"/>
        </w:numPr>
        <w:rPr>
          <w:color w:val="6E6E7C"/>
          <w:sz w:val="40"/>
        </w:rPr>
      </w:pPr>
      <w:bookmarkStart w:id="99" w:name="_Toc155793863"/>
      <w:bookmarkStart w:id="100" w:name="_Toc161322546"/>
      <w:bookmarkStart w:id="101" w:name="_Toc129701967"/>
      <w:bookmarkStart w:id="102" w:name="_Toc134781819"/>
      <w:r w:rsidRPr="00582936">
        <w:rPr>
          <w:color w:val="6E6E7C"/>
          <w:sz w:val="40"/>
        </w:rPr>
        <w:lastRenderedPageBreak/>
        <w:t>Metodología del marco muestral y el diseño de la muestra</w:t>
      </w:r>
      <w:bookmarkEnd w:id="99"/>
      <w:bookmarkEnd w:id="100"/>
    </w:p>
    <w:bookmarkEnd w:id="101"/>
    <w:bookmarkEnd w:id="102"/>
    <w:p w14:paraId="64410886" w14:textId="77777777" w:rsidR="006A74FA" w:rsidRPr="00582936" w:rsidRDefault="006A74FA" w:rsidP="006A74FA">
      <w:pPr>
        <w:spacing w:before="160" w:after="12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En la fase de metodología del marco muestral y el diseño de la muestra, se incluyen todos los elementos diseñados y construidos que fueron necesarios para la ejecución de la operación estadística: dominio de estudio, marco de muestreo, variables de diseño, tamaño muestral, selección de la muestra, factores de expansión, entr</w:t>
      </w:r>
      <w:r>
        <w:rPr>
          <w:rFonts w:ascii="Century Gothic" w:eastAsia="Calibri" w:hAnsi="Century Gothic" w:cs="Times New Roman"/>
          <w:iCs/>
          <w:color w:val="6E6E7C"/>
          <w:sz w:val="21"/>
          <w:szCs w:val="21"/>
          <w:lang w:eastAsia="es-EC"/>
        </w:rPr>
        <w:t>e</w:t>
      </w:r>
      <w:r w:rsidRPr="00582936">
        <w:rPr>
          <w:rFonts w:ascii="Century Gothic" w:eastAsia="Calibri" w:hAnsi="Century Gothic" w:cs="Times New Roman"/>
          <w:iCs/>
          <w:color w:val="6E6E7C"/>
          <w:sz w:val="21"/>
          <w:szCs w:val="21"/>
          <w:lang w:eastAsia="es-EC"/>
        </w:rPr>
        <w:t xml:space="preserve"> otros. </w:t>
      </w:r>
    </w:p>
    <w:p w14:paraId="2DF0E7D4" w14:textId="77777777" w:rsidR="006A74FA" w:rsidRPr="00582936" w:rsidRDefault="006A74FA" w:rsidP="006A74FA">
      <w:pPr>
        <w:pStyle w:val="Prrafodelista"/>
        <w:keepNext/>
        <w:keepLines/>
        <w:numPr>
          <w:ilvl w:val="0"/>
          <w:numId w:val="1"/>
        </w:numPr>
        <w:tabs>
          <w:tab w:val="left" w:pos="567"/>
        </w:tabs>
        <w:spacing w:before="120" w:after="120"/>
        <w:contextualSpacing w:val="0"/>
        <w:outlineLvl w:val="2"/>
        <w:rPr>
          <w:rFonts w:ascii="Century Gothic" w:hAnsi="Century Gothic"/>
          <w:b/>
          <w:vanish/>
          <w:color w:val="6E6E7C"/>
          <w:sz w:val="24"/>
          <w:szCs w:val="44"/>
        </w:rPr>
      </w:pPr>
      <w:bookmarkStart w:id="103" w:name="_Toc131062446"/>
      <w:bookmarkStart w:id="104" w:name="_Toc131492784"/>
      <w:bookmarkStart w:id="105" w:name="_Toc148617335"/>
      <w:bookmarkStart w:id="106" w:name="_Toc155867193"/>
      <w:bookmarkStart w:id="107" w:name="_Toc156907648"/>
      <w:bookmarkStart w:id="108" w:name="_Toc156907729"/>
      <w:bookmarkStart w:id="109" w:name="_Toc156908231"/>
      <w:bookmarkStart w:id="110" w:name="_Toc157007239"/>
      <w:bookmarkStart w:id="111" w:name="_Toc157007306"/>
      <w:bookmarkStart w:id="112" w:name="_Toc157368430"/>
      <w:bookmarkStart w:id="113" w:name="_Toc157542060"/>
      <w:bookmarkStart w:id="114" w:name="_Toc157585729"/>
      <w:bookmarkStart w:id="115" w:name="_Toc157585999"/>
      <w:bookmarkStart w:id="116" w:name="_Toc157671061"/>
      <w:bookmarkStart w:id="117" w:name="_Toc157672208"/>
      <w:bookmarkStart w:id="118" w:name="_Toc158206830"/>
      <w:bookmarkStart w:id="119" w:name="_Toc161297021"/>
      <w:bookmarkStart w:id="120" w:name="_Toc161322481"/>
      <w:bookmarkStart w:id="121" w:name="_Toc161322547"/>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0DFA801E"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22" w:name="_Toc126657984"/>
      <w:bookmarkStart w:id="123" w:name="_Toc148617336"/>
      <w:bookmarkStart w:id="124" w:name="_Toc161322548"/>
      <w:r w:rsidRPr="00BD0CD2">
        <w:rPr>
          <w:rFonts w:eastAsiaTheme="minorHAnsi" w:cstheme="minorBidi"/>
          <w:bCs/>
          <w:color w:val="6E6E7C"/>
          <w:sz w:val="28"/>
          <w:szCs w:val="44"/>
        </w:rPr>
        <w:t>Tipos y etapas del diseño muestral</w:t>
      </w:r>
      <w:bookmarkEnd w:id="122"/>
      <w:bookmarkEnd w:id="123"/>
      <w:bookmarkEnd w:id="124"/>
    </w:p>
    <w:p w14:paraId="5E11B90B" w14:textId="77777777" w:rsidR="006A74FA" w:rsidRPr="00582936" w:rsidRDefault="006A74FA" w:rsidP="006A74FA">
      <w:pPr>
        <w:tabs>
          <w:tab w:val="left" w:pos="0"/>
        </w:tabs>
        <w:spacing w:line="276" w:lineRule="auto"/>
        <w:contextualSpacing/>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Esta operación estadística corresponde a una encuesta dirigida a empresas. Se aplica el muestreo probabilístico de elementos con selección aleatoria.</w:t>
      </w:r>
    </w:p>
    <w:p w14:paraId="68F4B309" w14:textId="77777777" w:rsidR="006A74FA" w:rsidRPr="00582936" w:rsidRDefault="006A74FA" w:rsidP="006A74FA">
      <w:pPr>
        <w:rPr>
          <w:rFonts w:ascii="Century Gothic" w:hAnsi="Century Gothic"/>
          <w:color w:val="6E6E7C"/>
        </w:rPr>
      </w:pPr>
    </w:p>
    <w:p w14:paraId="0E854A85"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25" w:name="_Toc126657985"/>
      <w:bookmarkStart w:id="126" w:name="_Toc148617337"/>
      <w:bookmarkStart w:id="127" w:name="_Toc161322549"/>
      <w:r w:rsidRPr="00BD0CD2">
        <w:rPr>
          <w:rFonts w:eastAsiaTheme="minorHAnsi" w:cstheme="minorBidi"/>
          <w:bCs/>
          <w:color w:val="6E6E7C"/>
          <w:sz w:val="28"/>
          <w:szCs w:val="44"/>
        </w:rPr>
        <w:t>Dominios de estudio</w:t>
      </w:r>
      <w:bookmarkEnd w:id="125"/>
      <w:bookmarkEnd w:id="126"/>
      <w:bookmarkEnd w:id="127"/>
    </w:p>
    <w:p w14:paraId="2A889986" w14:textId="77777777" w:rsidR="006A74FA" w:rsidRPr="00582936" w:rsidRDefault="006A74FA" w:rsidP="006A74FA">
      <w:pPr>
        <w:pStyle w:val="Sinespaciado"/>
        <w:jc w:val="both"/>
        <w:rPr>
          <w:rFonts w:eastAsia="Calibri" w:cs="Times New Roman"/>
          <w:b w:val="0"/>
          <w:bCs w:val="0"/>
          <w:color w:val="6E6E7C"/>
          <w:sz w:val="21"/>
          <w:szCs w:val="21"/>
          <w:lang w:eastAsia="es-EC"/>
        </w:rPr>
      </w:pPr>
      <w:r w:rsidRPr="00582936">
        <w:rPr>
          <w:rFonts w:eastAsia="Calibri" w:cs="Times New Roman"/>
          <w:b w:val="0"/>
          <w:bCs w:val="0"/>
          <w:color w:val="6E6E7C"/>
          <w:sz w:val="21"/>
          <w:szCs w:val="21"/>
          <w:lang w:eastAsia="es-EC"/>
        </w:rPr>
        <w:t>Los dominios de estudio de la encuesta son los sectores económicos por tamaño de empresa a nivel nacional. Dentro de cada dominio de estudio, se considera a las grandes empresas como un grupo de inclusión forzosa, es decir, estas empresas entran con probabilidad 1 a formar parte de la muestra. De igual forma, se incluye a las empresas que en 2020 eran de tamaño “Grande empresa” y en el 2021 fueron “Medianas B”, con el fin de llevar un seguimiento de las características de estas empresas.</w:t>
      </w:r>
    </w:p>
    <w:p w14:paraId="55766EEA"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28" w:name="_Toc126657986"/>
      <w:bookmarkStart w:id="129" w:name="_Toc148617338"/>
      <w:bookmarkStart w:id="130" w:name="_Toc161322550"/>
      <w:r w:rsidRPr="00BD0CD2">
        <w:rPr>
          <w:rFonts w:eastAsiaTheme="minorHAnsi" w:cstheme="minorBidi"/>
          <w:bCs/>
          <w:color w:val="6E6E7C"/>
          <w:sz w:val="28"/>
          <w:szCs w:val="44"/>
        </w:rPr>
        <w:t>Marco muestral</w:t>
      </w:r>
      <w:bookmarkEnd w:id="128"/>
      <w:bookmarkEnd w:id="129"/>
      <w:bookmarkEnd w:id="130"/>
    </w:p>
    <w:p w14:paraId="3B89DA8E"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El marco muestral para la ENESEM 2022 está conformado por las empresas que constan en el Registro Estadístico de Empresas 2021 (REEM-2021). El Registro contiene principalmente variables de identificación, ubicación, estratificación; y, variables de diseño y control de las empresas, indispensables para el diseño muestral.</w:t>
      </w:r>
    </w:p>
    <w:p w14:paraId="3292415E"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31" w:name="_Toc126657987"/>
      <w:bookmarkStart w:id="132" w:name="_Toc148617339"/>
      <w:bookmarkStart w:id="133" w:name="_Toc161322551"/>
      <w:r w:rsidRPr="00BD0CD2">
        <w:rPr>
          <w:rFonts w:eastAsiaTheme="minorHAnsi" w:cstheme="minorBidi"/>
          <w:bCs/>
          <w:color w:val="6E6E7C"/>
          <w:sz w:val="28"/>
          <w:szCs w:val="44"/>
        </w:rPr>
        <w:t>Variables de diseño</w:t>
      </w:r>
      <w:bookmarkEnd w:id="131"/>
      <w:bookmarkEnd w:id="132"/>
      <w:bookmarkEnd w:id="133"/>
    </w:p>
    <w:p w14:paraId="2FE28D70" w14:textId="77777777" w:rsidR="006A74FA" w:rsidRPr="00582936" w:rsidRDefault="006A74FA" w:rsidP="006A74FA">
      <w:pPr>
        <w:spacing w:after="160" w:line="259"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La variable de diseño para calcular el tamaño de la muestra se denomina “Ventas totales 2021”. Los valores poblacionales (marco muestral) de esta variable se toman de la base de datos del Registro Estadístico de Empresas del año 2021 (REEM-2021).</w:t>
      </w:r>
    </w:p>
    <w:p w14:paraId="2158D6CF"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34" w:name="_Toc126657988"/>
      <w:bookmarkStart w:id="135" w:name="_Toc148617340"/>
      <w:bookmarkStart w:id="136" w:name="_Toc161322552"/>
      <w:r w:rsidRPr="00BD0CD2">
        <w:rPr>
          <w:rFonts w:eastAsiaTheme="minorHAnsi" w:cstheme="minorBidi"/>
          <w:bCs/>
          <w:color w:val="6E6E7C"/>
          <w:sz w:val="28"/>
          <w:szCs w:val="44"/>
        </w:rPr>
        <w:t>Tamaño muestral</w:t>
      </w:r>
      <w:bookmarkEnd w:id="134"/>
      <w:bookmarkEnd w:id="135"/>
      <w:bookmarkEnd w:id="136"/>
    </w:p>
    <w:p w14:paraId="683583DC" w14:textId="77777777" w:rsidR="006A74FA" w:rsidRPr="00582936" w:rsidRDefault="006A74FA" w:rsidP="006A74FA">
      <w:pPr>
        <w:spacing w:after="160" w:line="259"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Para establecer el tamaño de la muestra se analiza características que permiten estimar el nivel de confianza y la precisión requerida, de tal manera que los resultados obtenidos no sean demasiado costosos e imprecisos.</w:t>
      </w:r>
    </w:p>
    <w:p w14:paraId="681085C2" w14:textId="77777777" w:rsidR="006A74FA" w:rsidRPr="00582936" w:rsidRDefault="006A74FA" w:rsidP="006A74FA">
      <w:pPr>
        <w:spacing w:after="160" w:line="259"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Para el cálculo del tamaño de la muestra se considera la variable: “Ventas totales 2021”. Los valores poblacionales (marco muestral) de esta variable se toman de la base de datos del Registro Estadístico de Empresas del año 2021 (REEM-2021).</w:t>
      </w:r>
    </w:p>
    <w:p w14:paraId="5CE84076"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La fórmula para la determinación del tamaño de la muestra corresponde a un muestreo probabilístico para el estimador del total.</w:t>
      </w:r>
    </w:p>
    <w:p w14:paraId="54FDD8AA" w14:textId="77777777" w:rsidR="006A74FA" w:rsidRPr="00E12A6A" w:rsidRDefault="00746E03" w:rsidP="006A74FA">
      <w:pPr>
        <w:spacing w:after="160" w:line="259" w:lineRule="auto"/>
        <w:rPr>
          <w:rFonts w:ascii="Century Gothic" w:eastAsia="Calibri" w:hAnsi="Century Gothic" w:cs="Times New Roman"/>
          <w:iCs/>
          <w:color w:val="6E6E7C"/>
          <w:sz w:val="20"/>
          <w:szCs w:val="20"/>
          <w:lang w:bidi="es-ES"/>
        </w:rPr>
      </w:pPr>
      <m:oMathPara>
        <m:oMath>
          <m:sSub>
            <m:sSubPr>
              <m:ctrlPr>
                <w:rPr>
                  <w:rFonts w:ascii="Cambria Math" w:eastAsia="Calibri" w:hAnsi="Cambria Math" w:cs="Times New Roman"/>
                  <w:bCs/>
                  <w:iCs/>
                  <w:color w:val="6E6E7C"/>
                  <w:sz w:val="20"/>
                  <w:szCs w:val="20"/>
                </w:rPr>
              </m:ctrlPr>
            </m:sSubPr>
            <m:e>
              <m:r>
                <m:rPr>
                  <m:sty m:val="bi"/>
                </m:rPr>
                <w:rPr>
                  <w:rFonts w:ascii="Cambria Math" w:eastAsia="Calibri" w:hAnsi="Cambria Math" w:cs="Times New Roman"/>
                  <w:color w:val="6E6E7C"/>
                  <w:sz w:val="20"/>
                  <w:szCs w:val="20"/>
                </w:rPr>
                <m:t>n</m:t>
              </m:r>
            </m:e>
            <m:sub>
              <m:r>
                <m:rPr>
                  <m:sty m:val="bi"/>
                </m:rPr>
                <w:rPr>
                  <w:rFonts w:ascii="Cambria Math" w:eastAsia="Calibri" w:hAnsi="Cambria Math" w:cs="Times New Roman"/>
                  <w:color w:val="6E6E7C"/>
                  <w:sz w:val="20"/>
                  <w:szCs w:val="20"/>
                </w:rPr>
                <m:t>i</m:t>
              </m:r>
            </m:sub>
          </m:sSub>
          <m:r>
            <m:rPr>
              <m:sty m:val="b"/>
            </m:rPr>
            <w:rPr>
              <w:rFonts w:ascii="Cambria Math" w:eastAsia="Calibri" w:hAnsi="Cambria Math" w:cs="Times New Roman"/>
              <w:color w:val="6E6E7C"/>
              <w:sz w:val="20"/>
              <w:szCs w:val="20"/>
            </w:rPr>
            <m:t>&gt;=</m:t>
          </m:r>
          <m:f>
            <m:fPr>
              <m:ctrlPr>
                <w:rPr>
                  <w:rFonts w:ascii="Cambria Math" w:eastAsia="Calibri" w:hAnsi="Cambria Math" w:cs="Times New Roman"/>
                  <w:bCs/>
                  <w:iCs/>
                  <w:color w:val="6E6E7C"/>
                  <w:sz w:val="20"/>
                  <w:szCs w:val="20"/>
                </w:rPr>
              </m:ctrlPr>
            </m:fPr>
            <m:num>
              <m:sSup>
                <m:sSupPr>
                  <m:ctrlPr>
                    <w:rPr>
                      <w:rFonts w:ascii="Cambria Math" w:eastAsia="Calibri" w:hAnsi="Cambria Math" w:cs="Times New Roman"/>
                      <w:bCs/>
                      <w:iCs/>
                      <w:color w:val="6E6E7C"/>
                      <w:sz w:val="20"/>
                      <w:szCs w:val="20"/>
                    </w:rPr>
                  </m:ctrlPr>
                </m:sSupPr>
                <m:e>
                  <m:d>
                    <m:dPr>
                      <m:ctrlPr>
                        <w:rPr>
                          <w:rFonts w:ascii="Cambria Math" w:eastAsia="Calibri" w:hAnsi="Cambria Math" w:cs="Times New Roman"/>
                          <w:bCs/>
                          <w:iCs/>
                          <w:color w:val="6E6E7C"/>
                          <w:sz w:val="20"/>
                          <w:szCs w:val="20"/>
                        </w:rPr>
                      </m:ctrlPr>
                    </m:dPr>
                    <m:e>
                      <m:sSub>
                        <m:sSubPr>
                          <m:ctrlPr>
                            <w:rPr>
                              <w:rFonts w:ascii="Cambria Math" w:eastAsia="Calibri" w:hAnsi="Cambria Math" w:cs="Times New Roman"/>
                              <w:bCs/>
                              <w:iCs/>
                              <w:color w:val="6E6E7C"/>
                              <w:sz w:val="20"/>
                              <w:szCs w:val="20"/>
                            </w:rPr>
                          </m:ctrlPr>
                        </m:sSubPr>
                        <m:e>
                          <m:r>
                            <m:rPr>
                              <m:sty m:val="bi"/>
                            </m:rPr>
                            <w:rPr>
                              <w:rFonts w:ascii="Cambria Math" w:eastAsia="Calibri" w:hAnsi="Cambria Math" w:cs="Times New Roman"/>
                              <w:color w:val="6E6E7C"/>
                              <w:sz w:val="20"/>
                              <w:szCs w:val="20"/>
                            </w:rPr>
                            <m:t>N</m:t>
                          </m:r>
                        </m:e>
                        <m:sub>
                          <m:r>
                            <m:rPr>
                              <m:sty m:val="bi"/>
                            </m:rPr>
                            <w:rPr>
                              <w:rFonts w:ascii="Cambria Math" w:eastAsia="Calibri" w:hAnsi="Cambria Math" w:cs="Times New Roman"/>
                              <w:color w:val="6E6E7C"/>
                              <w:sz w:val="20"/>
                              <w:szCs w:val="20"/>
                            </w:rPr>
                            <m:t>i</m:t>
                          </m:r>
                        </m:sub>
                      </m:sSub>
                      <m:r>
                        <m:rPr>
                          <m:sty m:val="b"/>
                        </m:rPr>
                        <w:rPr>
                          <w:rFonts w:ascii="Cambria Math" w:eastAsia="Calibri" w:hAnsi="Cambria Math" w:cs="Times New Roman"/>
                          <w:color w:val="6E6E7C"/>
                          <w:sz w:val="20"/>
                          <w:szCs w:val="20"/>
                        </w:rPr>
                        <m:t>∙</m:t>
                      </m:r>
                      <m:sSub>
                        <m:sSubPr>
                          <m:ctrlPr>
                            <w:rPr>
                              <w:rFonts w:ascii="Cambria Math" w:eastAsia="Calibri" w:hAnsi="Cambria Math" w:cs="Times New Roman"/>
                              <w:bCs/>
                              <w:iCs/>
                              <w:color w:val="6E6E7C"/>
                              <w:sz w:val="20"/>
                              <w:szCs w:val="20"/>
                            </w:rPr>
                          </m:ctrlPr>
                        </m:sSubPr>
                        <m:e>
                          <m:r>
                            <m:rPr>
                              <m:sty m:val="bi"/>
                            </m:rPr>
                            <w:rPr>
                              <w:rFonts w:ascii="Cambria Math" w:eastAsia="Calibri" w:hAnsi="Cambria Math" w:cs="Times New Roman"/>
                              <w:color w:val="6E6E7C"/>
                              <w:sz w:val="20"/>
                              <w:szCs w:val="20"/>
                            </w:rPr>
                            <m:t>S</m:t>
                          </m:r>
                        </m:e>
                        <m:sub>
                          <m:r>
                            <m:rPr>
                              <m:sty m:val="bi"/>
                            </m:rPr>
                            <w:rPr>
                              <w:rFonts w:ascii="Cambria Math" w:eastAsia="Calibri" w:hAnsi="Cambria Math" w:cs="Times New Roman"/>
                              <w:color w:val="6E6E7C"/>
                              <w:sz w:val="20"/>
                              <w:szCs w:val="20"/>
                            </w:rPr>
                            <m:t>i</m:t>
                          </m:r>
                        </m:sub>
                      </m:sSub>
                    </m:e>
                  </m:d>
                </m:e>
                <m:sup>
                  <m:r>
                    <m:rPr>
                      <m:sty m:val="b"/>
                    </m:rPr>
                    <w:rPr>
                      <w:rFonts w:ascii="Cambria Math" w:eastAsia="Calibri" w:hAnsi="Cambria Math" w:cs="Times New Roman"/>
                      <w:color w:val="6E6E7C"/>
                      <w:sz w:val="20"/>
                      <w:szCs w:val="20"/>
                    </w:rPr>
                    <m:t>2</m:t>
                  </m:r>
                </m:sup>
              </m:sSup>
            </m:num>
            <m:den>
              <m:d>
                <m:dPr>
                  <m:ctrlPr>
                    <w:rPr>
                      <w:rFonts w:ascii="Cambria Math" w:eastAsia="Calibri" w:hAnsi="Cambria Math" w:cs="Times New Roman"/>
                      <w:bCs/>
                      <w:iCs/>
                      <w:color w:val="6E6E7C"/>
                      <w:sz w:val="20"/>
                      <w:szCs w:val="20"/>
                    </w:rPr>
                  </m:ctrlPr>
                </m:dPr>
                <m:e>
                  <m:f>
                    <m:fPr>
                      <m:ctrlPr>
                        <w:rPr>
                          <w:rFonts w:ascii="Cambria Math" w:eastAsia="Calibri" w:hAnsi="Cambria Math" w:cs="Times New Roman"/>
                          <w:bCs/>
                          <w:iCs/>
                          <w:color w:val="6E6E7C"/>
                          <w:sz w:val="20"/>
                          <w:szCs w:val="20"/>
                        </w:rPr>
                      </m:ctrlPr>
                    </m:fPr>
                    <m:num>
                      <m:sSub>
                        <m:sSubPr>
                          <m:ctrlPr>
                            <w:rPr>
                              <w:rFonts w:ascii="Cambria Math" w:eastAsia="Calibri" w:hAnsi="Cambria Math" w:cs="Times New Roman"/>
                              <w:bCs/>
                              <w:iCs/>
                              <w:color w:val="6E6E7C"/>
                              <w:sz w:val="20"/>
                              <w:szCs w:val="20"/>
                            </w:rPr>
                          </m:ctrlPr>
                        </m:sSubPr>
                        <m:e>
                          <m:r>
                            <m:rPr>
                              <m:sty m:val="bi"/>
                            </m:rPr>
                            <w:rPr>
                              <w:rFonts w:ascii="Cambria Math" w:eastAsia="Calibri" w:hAnsi="Cambria Math" w:cs="Times New Roman"/>
                              <w:color w:val="6E6E7C"/>
                              <w:sz w:val="20"/>
                              <w:szCs w:val="20"/>
                            </w:rPr>
                            <m:t>N</m:t>
                          </m:r>
                        </m:e>
                        <m:sub>
                          <m:r>
                            <m:rPr>
                              <m:sty m:val="bi"/>
                            </m:rPr>
                            <w:rPr>
                              <w:rFonts w:ascii="Cambria Math" w:eastAsia="Calibri" w:hAnsi="Cambria Math" w:cs="Times New Roman"/>
                              <w:color w:val="6E6E7C"/>
                              <w:sz w:val="20"/>
                              <w:szCs w:val="20"/>
                            </w:rPr>
                            <m:t>i</m:t>
                          </m:r>
                        </m:sub>
                      </m:sSub>
                      <m:r>
                        <m:rPr>
                          <m:sty m:val="b"/>
                        </m:rPr>
                        <w:rPr>
                          <w:rFonts w:ascii="Cambria Math" w:eastAsia="Calibri" w:hAnsi="Cambria Math" w:cs="Times New Roman"/>
                          <w:color w:val="6E6E7C"/>
                          <w:sz w:val="20"/>
                          <w:szCs w:val="20"/>
                        </w:rPr>
                        <m:t>-1</m:t>
                      </m:r>
                    </m:num>
                    <m:den>
                      <m:sSub>
                        <m:sSubPr>
                          <m:ctrlPr>
                            <w:rPr>
                              <w:rFonts w:ascii="Cambria Math" w:eastAsia="Calibri" w:hAnsi="Cambria Math" w:cs="Times New Roman"/>
                              <w:bCs/>
                              <w:iCs/>
                              <w:color w:val="6E6E7C"/>
                              <w:sz w:val="20"/>
                              <w:szCs w:val="20"/>
                            </w:rPr>
                          </m:ctrlPr>
                        </m:sSubPr>
                        <m:e>
                          <m:r>
                            <m:rPr>
                              <m:sty m:val="bi"/>
                            </m:rPr>
                            <w:rPr>
                              <w:rFonts w:ascii="Cambria Math" w:eastAsia="Calibri" w:hAnsi="Cambria Math" w:cs="Times New Roman"/>
                              <w:color w:val="6E6E7C"/>
                              <w:sz w:val="20"/>
                              <w:szCs w:val="20"/>
                            </w:rPr>
                            <m:t>N</m:t>
                          </m:r>
                        </m:e>
                        <m:sub>
                          <m:r>
                            <m:rPr>
                              <m:sty m:val="bi"/>
                            </m:rPr>
                            <w:rPr>
                              <w:rFonts w:ascii="Cambria Math" w:eastAsia="Calibri" w:hAnsi="Cambria Math" w:cs="Times New Roman"/>
                              <w:color w:val="6E6E7C"/>
                              <w:sz w:val="20"/>
                              <w:szCs w:val="20"/>
                            </w:rPr>
                            <m:t>i</m:t>
                          </m:r>
                        </m:sub>
                      </m:sSub>
                    </m:den>
                  </m:f>
                </m:e>
              </m:d>
              <m:r>
                <m:rPr>
                  <m:sty m:val="b"/>
                </m:rPr>
                <w:rPr>
                  <w:rFonts w:ascii="Cambria Math" w:eastAsia="Calibri" w:hAnsi="Cambria Math" w:cs="Times New Roman"/>
                  <w:color w:val="6E6E7C"/>
                  <w:sz w:val="20"/>
                  <w:szCs w:val="20"/>
                </w:rPr>
                <m:t>∙</m:t>
              </m:r>
              <m:sSup>
                <m:sSupPr>
                  <m:ctrlPr>
                    <w:rPr>
                      <w:rFonts w:ascii="Cambria Math" w:eastAsia="Calibri" w:hAnsi="Cambria Math" w:cs="Times New Roman"/>
                      <w:bCs/>
                      <w:iCs/>
                      <w:color w:val="6E6E7C"/>
                      <w:sz w:val="20"/>
                      <w:szCs w:val="20"/>
                    </w:rPr>
                  </m:ctrlPr>
                </m:sSupPr>
                <m:e>
                  <m:d>
                    <m:dPr>
                      <m:ctrlPr>
                        <w:rPr>
                          <w:rFonts w:ascii="Cambria Math" w:eastAsia="Calibri" w:hAnsi="Cambria Math" w:cs="Times New Roman"/>
                          <w:bCs/>
                          <w:iCs/>
                          <w:color w:val="6E6E7C"/>
                          <w:sz w:val="20"/>
                          <w:szCs w:val="20"/>
                        </w:rPr>
                      </m:ctrlPr>
                    </m:dPr>
                    <m:e>
                      <m:f>
                        <m:fPr>
                          <m:ctrlPr>
                            <w:rPr>
                              <w:rFonts w:ascii="Cambria Math" w:eastAsia="Calibri" w:hAnsi="Cambria Math" w:cs="Times New Roman"/>
                              <w:bCs/>
                              <w:iCs/>
                              <w:color w:val="6E6E7C"/>
                              <w:sz w:val="20"/>
                              <w:szCs w:val="20"/>
                            </w:rPr>
                          </m:ctrlPr>
                        </m:fPr>
                        <m:num>
                          <m:r>
                            <m:rPr>
                              <m:sty m:val="bi"/>
                            </m:rPr>
                            <w:rPr>
                              <w:rFonts w:ascii="Cambria Math" w:eastAsia="Calibri" w:hAnsi="Cambria Math" w:cs="Times New Roman"/>
                              <w:color w:val="6E6E7C"/>
                              <w:sz w:val="20"/>
                              <w:szCs w:val="20"/>
                            </w:rPr>
                            <m:t>e</m:t>
                          </m:r>
                        </m:num>
                        <m:den>
                          <m:r>
                            <m:rPr>
                              <m:sty m:val="bi"/>
                            </m:rPr>
                            <w:rPr>
                              <w:rFonts w:ascii="Cambria Math" w:eastAsia="Calibri" w:hAnsi="Cambria Math" w:cs="Times New Roman"/>
                              <w:color w:val="6E6E7C"/>
                              <w:sz w:val="20"/>
                              <w:szCs w:val="20"/>
                            </w:rPr>
                            <m:t>z</m:t>
                          </m:r>
                        </m:den>
                      </m:f>
                    </m:e>
                  </m:d>
                </m:e>
                <m:sup>
                  <m:r>
                    <m:rPr>
                      <m:sty m:val="b"/>
                    </m:rPr>
                    <w:rPr>
                      <w:rFonts w:ascii="Cambria Math" w:eastAsia="Calibri" w:hAnsi="Cambria Math" w:cs="Times New Roman"/>
                      <w:color w:val="6E6E7C"/>
                      <w:sz w:val="20"/>
                      <w:szCs w:val="20"/>
                    </w:rPr>
                    <m:t>2</m:t>
                  </m:r>
                </m:sup>
              </m:sSup>
              <m:r>
                <m:rPr>
                  <m:sty m:val="b"/>
                </m:rPr>
                <w:rPr>
                  <w:rFonts w:ascii="Cambria Math" w:eastAsia="Calibri" w:hAnsi="Cambria Math" w:cs="Times New Roman"/>
                  <w:color w:val="6E6E7C"/>
                  <w:sz w:val="20"/>
                  <w:szCs w:val="20"/>
                </w:rPr>
                <m:t>+</m:t>
              </m:r>
              <m:d>
                <m:dPr>
                  <m:ctrlPr>
                    <w:rPr>
                      <w:rFonts w:ascii="Cambria Math" w:eastAsia="Calibri" w:hAnsi="Cambria Math" w:cs="Times New Roman"/>
                      <w:bCs/>
                      <w:iCs/>
                      <w:color w:val="6E6E7C"/>
                      <w:sz w:val="20"/>
                      <w:szCs w:val="20"/>
                    </w:rPr>
                  </m:ctrlPr>
                </m:dPr>
                <m:e>
                  <m:sSub>
                    <m:sSubPr>
                      <m:ctrlPr>
                        <w:rPr>
                          <w:rFonts w:ascii="Cambria Math" w:eastAsia="Calibri" w:hAnsi="Cambria Math" w:cs="Times New Roman"/>
                          <w:bCs/>
                          <w:iCs/>
                          <w:color w:val="6E6E7C"/>
                          <w:sz w:val="20"/>
                          <w:szCs w:val="20"/>
                        </w:rPr>
                      </m:ctrlPr>
                    </m:sSubPr>
                    <m:e>
                      <m:r>
                        <m:rPr>
                          <m:sty m:val="bi"/>
                        </m:rPr>
                        <w:rPr>
                          <w:rFonts w:ascii="Cambria Math" w:eastAsia="Calibri" w:hAnsi="Cambria Math" w:cs="Times New Roman"/>
                          <w:color w:val="6E6E7C"/>
                          <w:sz w:val="20"/>
                          <w:szCs w:val="20"/>
                        </w:rPr>
                        <m:t>N</m:t>
                      </m:r>
                    </m:e>
                    <m:sub>
                      <m:r>
                        <m:rPr>
                          <m:sty m:val="bi"/>
                        </m:rPr>
                        <w:rPr>
                          <w:rFonts w:ascii="Cambria Math" w:eastAsia="Calibri" w:hAnsi="Cambria Math" w:cs="Times New Roman"/>
                          <w:color w:val="6E6E7C"/>
                          <w:sz w:val="20"/>
                          <w:szCs w:val="20"/>
                        </w:rPr>
                        <m:t>i</m:t>
                      </m:r>
                    </m:sub>
                  </m:sSub>
                  <m:r>
                    <m:rPr>
                      <m:sty m:val="b"/>
                    </m:rPr>
                    <w:rPr>
                      <w:rFonts w:ascii="Cambria Math" w:eastAsia="Calibri" w:hAnsi="Cambria Math" w:cs="Times New Roman"/>
                      <w:color w:val="6E6E7C"/>
                      <w:sz w:val="20"/>
                      <w:szCs w:val="20"/>
                    </w:rPr>
                    <m:t>∙</m:t>
                  </m:r>
                  <m:sSup>
                    <m:sSupPr>
                      <m:ctrlPr>
                        <w:rPr>
                          <w:rFonts w:ascii="Cambria Math" w:eastAsia="Calibri" w:hAnsi="Cambria Math" w:cs="Times New Roman"/>
                          <w:bCs/>
                          <w:iCs/>
                          <w:color w:val="6E6E7C"/>
                          <w:sz w:val="20"/>
                          <w:szCs w:val="20"/>
                        </w:rPr>
                      </m:ctrlPr>
                    </m:sSupPr>
                    <m:e>
                      <m:sSub>
                        <m:sSubPr>
                          <m:ctrlPr>
                            <w:rPr>
                              <w:rFonts w:ascii="Cambria Math" w:eastAsia="Calibri" w:hAnsi="Cambria Math" w:cs="Times New Roman"/>
                              <w:bCs/>
                              <w:iCs/>
                              <w:color w:val="6E6E7C"/>
                              <w:sz w:val="20"/>
                              <w:szCs w:val="20"/>
                            </w:rPr>
                          </m:ctrlPr>
                        </m:sSubPr>
                        <m:e>
                          <m:r>
                            <m:rPr>
                              <m:sty m:val="bi"/>
                            </m:rPr>
                            <w:rPr>
                              <w:rFonts w:ascii="Cambria Math" w:eastAsia="Calibri" w:hAnsi="Cambria Math" w:cs="Times New Roman"/>
                              <w:color w:val="6E6E7C"/>
                              <w:sz w:val="20"/>
                              <w:szCs w:val="20"/>
                            </w:rPr>
                            <m:t>S</m:t>
                          </m:r>
                        </m:e>
                        <m:sub>
                          <m:r>
                            <m:rPr>
                              <m:sty m:val="bi"/>
                            </m:rPr>
                            <w:rPr>
                              <w:rFonts w:ascii="Cambria Math" w:eastAsia="Calibri" w:hAnsi="Cambria Math" w:cs="Times New Roman"/>
                              <w:color w:val="6E6E7C"/>
                              <w:sz w:val="20"/>
                              <w:szCs w:val="20"/>
                            </w:rPr>
                            <m:t>i</m:t>
                          </m:r>
                        </m:sub>
                      </m:sSub>
                    </m:e>
                    <m:sup>
                      <m:r>
                        <m:rPr>
                          <m:sty m:val="b"/>
                        </m:rPr>
                        <w:rPr>
                          <w:rFonts w:ascii="Cambria Math" w:eastAsia="Calibri" w:hAnsi="Cambria Math" w:cs="Times New Roman"/>
                          <w:color w:val="6E6E7C"/>
                          <w:sz w:val="20"/>
                          <w:szCs w:val="20"/>
                        </w:rPr>
                        <m:t>2</m:t>
                      </m:r>
                    </m:sup>
                  </m:sSup>
                </m:e>
              </m:d>
            </m:den>
          </m:f>
          <m:r>
            <m:rPr>
              <m:sty m:val="b"/>
            </m:rPr>
            <w:rPr>
              <w:rFonts w:ascii="Cambria Math" w:eastAsia="Calibri" w:hAnsi="Cambria Math" w:cs="Times New Roman"/>
              <w:color w:val="6E6E7C"/>
              <w:sz w:val="20"/>
              <w:szCs w:val="20"/>
            </w:rPr>
            <m:t>∙</m:t>
          </m:r>
          <m:f>
            <m:fPr>
              <m:ctrlPr>
                <w:rPr>
                  <w:rFonts w:ascii="Cambria Math" w:eastAsia="Calibri" w:hAnsi="Cambria Math" w:cs="Times New Roman"/>
                  <w:bCs/>
                  <w:iCs/>
                  <w:color w:val="6E6E7C"/>
                  <w:sz w:val="20"/>
                  <w:szCs w:val="20"/>
                </w:rPr>
              </m:ctrlPr>
            </m:fPr>
            <m:num>
              <m:r>
                <m:rPr>
                  <m:sty m:val="bi"/>
                </m:rPr>
                <w:rPr>
                  <w:rFonts w:ascii="Cambria Math" w:eastAsia="Calibri" w:hAnsi="Cambria Math" w:cs="Times New Roman"/>
                  <w:color w:val="6E6E7C"/>
                  <w:sz w:val="20"/>
                  <w:szCs w:val="20"/>
                </w:rPr>
                <m:t>1</m:t>
              </m:r>
            </m:num>
            <m:den>
              <m:r>
                <m:rPr>
                  <m:sty m:val="bi"/>
                </m:rPr>
                <w:rPr>
                  <w:rFonts w:ascii="Cambria Math" w:eastAsia="Calibri" w:hAnsi="Cambria Math" w:cs="Times New Roman"/>
                  <w:color w:val="6E6E7C"/>
                  <w:sz w:val="20"/>
                  <w:szCs w:val="20"/>
                </w:rPr>
                <m:t>1-</m:t>
              </m:r>
              <m:sSub>
                <m:sSubPr>
                  <m:ctrlPr>
                    <w:rPr>
                      <w:rFonts w:ascii="Cambria Math" w:eastAsia="Calibri" w:hAnsi="Cambria Math" w:cs="Times New Roman"/>
                      <w:bCs/>
                      <w:i/>
                      <w:iCs/>
                      <w:color w:val="6E6E7C"/>
                      <w:sz w:val="20"/>
                      <w:szCs w:val="20"/>
                    </w:rPr>
                  </m:ctrlPr>
                </m:sSubPr>
                <m:e>
                  <m:r>
                    <m:rPr>
                      <m:sty m:val="bi"/>
                    </m:rPr>
                    <w:rPr>
                      <w:rFonts w:ascii="Cambria Math" w:eastAsia="Calibri" w:hAnsi="Cambria Math" w:cs="Times New Roman"/>
                      <w:color w:val="6E6E7C"/>
                      <w:sz w:val="20"/>
                      <w:szCs w:val="20"/>
                    </w:rPr>
                    <m:t>tnr</m:t>
                  </m:r>
                </m:e>
                <m:sub>
                  <m:r>
                    <m:rPr>
                      <m:sty m:val="bi"/>
                    </m:rPr>
                    <w:rPr>
                      <w:rFonts w:ascii="Cambria Math" w:eastAsia="Calibri" w:hAnsi="Cambria Math" w:cs="Times New Roman"/>
                      <w:color w:val="6E6E7C"/>
                      <w:sz w:val="20"/>
                      <w:szCs w:val="20"/>
                    </w:rPr>
                    <m:t>i</m:t>
                  </m:r>
                </m:sub>
              </m:sSub>
            </m:den>
          </m:f>
        </m:oMath>
      </m:oMathPara>
    </w:p>
    <w:p w14:paraId="76E5DEB2" w14:textId="77777777" w:rsidR="006A74FA" w:rsidRPr="00E12A6A" w:rsidRDefault="006A74FA" w:rsidP="006A74FA">
      <w:pPr>
        <w:spacing w:after="160" w:line="259" w:lineRule="auto"/>
        <w:rPr>
          <w:rFonts w:ascii="Century Gothic" w:eastAsia="Calibri" w:hAnsi="Century Gothic" w:cs="Times New Roman"/>
          <w:iCs/>
          <w:color w:val="6E6E7C"/>
          <w:sz w:val="21"/>
          <w:szCs w:val="21"/>
          <w:lang w:bidi="es-ES"/>
        </w:rPr>
      </w:pPr>
      <w:r w:rsidRPr="00E12A6A">
        <w:rPr>
          <w:rFonts w:ascii="Century Gothic" w:eastAsia="Calibri" w:hAnsi="Century Gothic" w:cs="Times New Roman"/>
          <w:iCs/>
          <w:color w:val="6E6E7C"/>
          <w:sz w:val="21"/>
          <w:szCs w:val="21"/>
          <w:lang w:bidi="es-ES"/>
        </w:rPr>
        <w:t>Dónde:</w:t>
      </w:r>
    </w:p>
    <w:p w14:paraId="6B9D4A52" w14:textId="77777777" w:rsidR="006A74FA" w:rsidRPr="00E12A6A" w:rsidRDefault="00746E03" w:rsidP="006A74FA">
      <w:pPr>
        <w:spacing w:line="259" w:lineRule="auto"/>
        <w:jc w:val="both"/>
        <w:rPr>
          <w:rFonts w:ascii="Century Gothic" w:eastAsia="Calibri" w:hAnsi="Century Gothic" w:cs="Times New Roman"/>
          <w:bCs/>
          <w:iCs/>
          <w:color w:val="6E6E7C"/>
          <w:sz w:val="20"/>
          <w:szCs w:val="20"/>
        </w:rPr>
      </w:pPr>
      <m:oMathPara>
        <m:oMath>
          <m:m>
            <m:mPr>
              <m:mcs>
                <m:mc>
                  <m:mcPr>
                    <m:count m:val="2"/>
                    <m:mcJc m:val="center"/>
                  </m:mcPr>
                </m:mc>
                <m:mc>
                  <m:mcPr>
                    <m:count m:val="1"/>
                    <m:mcJc m:val="left"/>
                  </m:mcPr>
                </m:mc>
              </m:mcs>
              <m:ctrlPr>
                <w:rPr>
                  <w:rFonts w:ascii="Cambria Math" w:eastAsia="Calibri" w:hAnsi="Cambria Math" w:cs="Arial"/>
                  <w:bCs/>
                  <w:iCs/>
                  <w:color w:val="6E6E7C"/>
                  <w:sz w:val="20"/>
                  <w:szCs w:val="20"/>
                </w:rPr>
              </m:ctrlPr>
            </m:mPr>
            <m:mr>
              <m:e>
                <m:sSub>
                  <m:sSubPr>
                    <m:ctrlPr>
                      <w:rPr>
                        <w:rFonts w:ascii="Cambria Math" w:eastAsia="Calibri" w:hAnsi="Cambria Math" w:cs="Arial"/>
                        <w:bCs/>
                        <w:iCs/>
                        <w:color w:val="6E6E7C"/>
                        <w:sz w:val="20"/>
                        <w:szCs w:val="20"/>
                      </w:rPr>
                    </m:ctrlPr>
                  </m:sSubPr>
                  <m:e>
                    <m:r>
                      <m:rPr>
                        <m:sty m:val="b"/>
                      </m:rPr>
                      <w:rPr>
                        <w:rFonts w:ascii="Cambria Math" w:eastAsia="Calibri" w:hAnsi="Cambria Math" w:cs="Arial"/>
                        <w:color w:val="6E6E7C"/>
                        <w:sz w:val="20"/>
                        <w:szCs w:val="20"/>
                      </w:rPr>
                      <m:t>n</m:t>
                    </m:r>
                  </m:e>
                  <m:sub>
                    <m:r>
                      <m:rPr>
                        <m:sty m:val="b"/>
                      </m:rPr>
                      <w:rPr>
                        <w:rFonts w:ascii="Cambria Math" w:eastAsia="Calibri" w:hAnsi="Cambria Math" w:cs="Arial"/>
                        <w:color w:val="6E6E7C"/>
                        <w:sz w:val="20"/>
                        <w:szCs w:val="20"/>
                      </w:rPr>
                      <m:t>i</m:t>
                    </m:r>
                  </m:sub>
                </m:sSub>
              </m:e>
              <m:e>
                <m:r>
                  <m:rPr>
                    <m:sty m:val="b"/>
                  </m:rPr>
                  <w:rPr>
                    <w:rFonts w:ascii="Cambria Math" w:eastAsia="Calibri" w:hAnsi="Cambria Math" w:cs="Arial"/>
                    <w:color w:val="6E6E7C"/>
                    <w:sz w:val="20"/>
                    <w:szCs w:val="20"/>
                  </w:rPr>
                  <m:t>=</m:t>
                </m:r>
              </m:e>
              <m:e>
                <m:r>
                  <m:rPr>
                    <m:sty m:val="bi"/>
                  </m:rPr>
                  <w:rPr>
                    <w:rFonts w:ascii="Cambria Math" w:eastAsia="Calibri" w:hAnsi="Cambria Math" w:cs="Arial"/>
                    <w:color w:val="6E6E7C"/>
                    <w:sz w:val="20"/>
                    <w:szCs w:val="20"/>
                  </w:rPr>
                  <m:t>Tamaño de la muestra por dominio</m:t>
                </m:r>
              </m:e>
            </m:mr>
            <m:mr>
              <m:e>
                <m:sSub>
                  <m:sSubPr>
                    <m:ctrlPr>
                      <w:rPr>
                        <w:rFonts w:ascii="Cambria Math" w:eastAsia="Calibri" w:hAnsi="Cambria Math" w:cs="Arial"/>
                        <w:bCs/>
                        <w:iCs/>
                        <w:color w:val="6E6E7C"/>
                        <w:sz w:val="20"/>
                        <w:szCs w:val="20"/>
                      </w:rPr>
                    </m:ctrlPr>
                  </m:sSubPr>
                  <m:e>
                    <m:r>
                      <m:rPr>
                        <m:sty m:val="b"/>
                      </m:rPr>
                      <w:rPr>
                        <w:rFonts w:ascii="Cambria Math" w:eastAsia="Calibri" w:hAnsi="Cambria Math" w:cs="Arial"/>
                        <w:color w:val="6E6E7C"/>
                        <w:sz w:val="20"/>
                        <w:szCs w:val="20"/>
                      </w:rPr>
                      <m:t>N</m:t>
                    </m:r>
                  </m:e>
                  <m:sub>
                    <m:r>
                      <m:rPr>
                        <m:sty m:val="b"/>
                      </m:rPr>
                      <w:rPr>
                        <w:rFonts w:ascii="Cambria Math" w:eastAsia="Calibri" w:hAnsi="Cambria Math" w:cs="Arial"/>
                        <w:color w:val="6E6E7C"/>
                        <w:sz w:val="20"/>
                        <w:szCs w:val="20"/>
                      </w:rPr>
                      <m:t>i</m:t>
                    </m:r>
                  </m:sub>
                </m:sSub>
                <m:ctrlPr>
                  <w:rPr>
                    <w:rFonts w:ascii="Cambria Math" w:eastAsia="Cambria Math" w:hAnsi="Cambria Math" w:cs="Cambria Math"/>
                    <w:bCs/>
                    <w:iCs/>
                    <w:color w:val="6E6E7C"/>
                    <w:sz w:val="20"/>
                    <w:szCs w:val="20"/>
                  </w:rPr>
                </m:ctrlPr>
              </m:e>
              <m:e>
                <m:r>
                  <m:rPr>
                    <m:sty m:val="b"/>
                  </m:rPr>
                  <w:rPr>
                    <w:rFonts w:ascii="Cambria Math" w:eastAsia="Cambria Math" w:hAnsi="Cambria Math" w:cs="Cambria Math"/>
                    <w:color w:val="6E6E7C"/>
                    <w:sz w:val="20"/>
                    <w:szCs w:val="20"/>
                  </w:rPr>
                  <m:t>=</m:t>
                </m:r>
                <m:ctrlPr>
                  <w:rPr>
                    <w:rFonts w:ascii="Cambria Math" w:eastAsia="Cambria Math" w:hAnsi="Cambria Math" w:cs="Cambria Math"/>
                    <w:bCs/>
                    <w:iCs/>
                    <w:color w:val="6E6E7C"/>
                    <w:sz w:val="20"/>
                    <w:szCs w:val="20"/>
                  </w:rPr>
                </m:ctrlPr>
              </m:e>
              <m:e>
                <m:r>
                  <m:rPr>
                    <m:sty m:val="bi"/>
                  </m:rPr>
                  <w:rPr>
                    <w:rFonts w:ascii="Cambria Math" w:eastAsia="Cambria Math" w:hAnsi="Cambria Math" w:cs="Cambria Math"/>
                    <w:color w:val="6E6E7C"/>
                    <w:sz w:val="20"/>
                    <w:szCs w:val="20"/>
                  </w:rPr>
                  <m:t>Tamaño del dominio i</m:t>
                </m:r>
                <m:ctrlPr>
                  <w:rPr>
                    <w:rFonts w:ascii="Cambria Math" w:eastAsia="Cambria Math" w:hAnsi="Cambria Math" w:cs="Cambria Math"/>
                    <w:bCs/>
                    <w:iCs/>
                    <w:color w:val="6E6E7C"/>
                    <w:sz w:val="20"/>
                    <w:szCs w:val="20"/>
                  </w:rPr>
                </m:ctrlPr>
              </m:e>
            </m:mr>
            <m:mr>
              <m:e>
                <m:sSub>
                  <m:sSubPr>
                    <m:ctrlPr>
                      <w:rPr>
                        <w:rFonts w:ascii="Cambria Math" w:eastAsia="Cambria Math" w:hAnsi="Cambria Math" w:cs="Cambria Math"/>
                        <w:bCs/>
                        <w:iCs/>
                        <w:color w:val="6E6E7C"/>
                        <w:sz w:val="20"/>
                        <w:szCs w:val="20"/>
                      </w:rPr>
                    </m:ctrlPr>
                  </m:sSubPr>
                  <m:e>
                    <m:r>
                      <m:rPr>
                        <m:sty m:val="b"/>
                      </m:rPr>
                      <w:rPr>
                        <w:rFonts w:ascii="Cambria Math" w:eastAsia="Cambria Math" w:hAnsi="Cambria Math" w:cs="Cambria Math"/>
                        <w:color w:val="6E6E7C"/>
                        <w:sz w:val="20"/>
                        <w:szCs w:val="20"/>
                      </w:rPr>
                      <m:t>S</m:t>
                    </m:r>
                  </m:e>
                  <m:sub>
                    <m:r>
                      <m:rPr>
                        <m:sty m:val="b"/>
                      </m:rPr>
                      <w:rPr>
                        <w:rFonts w:ascii="Cambria Math" w:eastAsia="Cambria Math" w:hAnsi="Cambria Math" w:cs="Cambria Math"/>
                        <w:color w:val="6E6E7C"/>
                        <w:sz w:val="20"/>
                        <w:szCs w:val="20"/>
                      </w:rPr>
                      <m:t>i</m:t>
                    </m:r>
                  </m:sub>
                </m:sSub>
                <m:ctrlPr>
                  <w:rPr>
                    <w:rFonts w:ascii="Cambria Math" w:eastAsia="Cambria Math" w:hAnsi="Cambria Math" w:cs="Cambria Math"/>
                    <w:bCs/>
                    <w:iCs/>
                    <w:color w:val="6E6E7C"/>
                    <w:sz w:val="20"/>
                    <w:szCs w:val="20"/>
                  </w:rPr>
                </m:ctrlPr>
              </m:e>
              <m:e>
                <m:r>
                  <m:rPr>
                    <m:sty m:val="b"/>
                  </m:rPr>
                  <w:rPr>
                    <w:rFonts w:ascii="Cambria Math" w:eastAsia="Cambria Math" w:hAnsi="Cambria Math" w:cs="Cambria Math"/>
                    <w:color w:val="6E6E7C"/>
                    <w:sz w:val="20"/>
                    <w:szCs w:val="20"/>
                  </w:rPr>
                  <m:t>=</m:t>
                </m:r>
                <m:ctrlPr>
                  <w:rPr>
                    <w:rFonts w:ascii="Cambria Math" w:eastAsia="Cambria Math" w:hAnsi="Cambria Math" w:cs="Cambria Math"/>
                    <w:bCs/>
                    <w:iCs/>
                    <w:color w:val="6E6E7C"/>
                    <w:sz w:val="20"/>
                    <w:szCs w:val="20"/>
                  </w:rPr>
                </m:ctrlPr>
              </m:e>
              <m:e>
                <m:r>
                  <m:rPr>
                    <m:sty m:val="bi"/>
                  </m:rPr>
                  <w:rPr>
                    <w:rFonts w:ascii="Cambria Math" w:eastAsia="Cambria Math" w:hAnsi="Cambria Math" w:cs="Cambria Math"/>
                    <w:color w:val="6E6E7C"/>
                    <w:sz w:val="20"/>
                    <w:szCs w:val="20"/>
                  </w:rPr>
                  <m:t>Cuasivarianza del dominio i</m:t>
                </m:r>
                <m:r>
                  <m:rPr>
                    <m:sty m:val="b"/>
                  </m:rPr>
                  <w:rPr>
                    <w:rFonts w:ascii="Cambria Math" w:eastAsia="Cambria Math" w:hAnsi="Cambria Math" w:cs="Cambria Math"/>
                    <w:color w:val="6E6E7C"/>
                    <w:sz w:val="20"/>
                    <w:szCs w:val="20"/>
                  </w:rPr>
                  <m:t xml:space="preserve"> </m:t>
                </m:r>
                <m:ctrlPr>
                  <w:rPr>
                    <w:rFonts w:ascii="Cambria Math" w:eastAsia="Cambria Math" w:hAnsi="Cambria Math" w:cs="Cambria Math"/>
                    <w:bCs/>
                    <w:iCs/>
                    <w:color w:val="6E6E7C"/>
                    <w:sz w:val="20"/>
                    <w:szCs w:val="20"/>
                  </w:rPr>
                </m:ctrlPr>
              </m:e>
            </m:mr>
            <m:mr>
              <m:e>
                <m:r>
                  <m:rPr>
                    <m:sty m:val="b"/>
                  </m:rPr>
                  <w:rPr>
                    <w:rFonts w:ascii="Cambria Math" w:eastAsia="Cambria Math" w:hAnsi="Cambria Math" w:cs="Cambria Math"/>
                    <w:color w:val="6E6E7C"/>
                    <w:sz w:val="20"/>
                    <w:szCs w:val="20"/>
                  </w:rPr>
                  <m:t>e</m:t>
                </m:r>
                <m:ctrlPr>
                  <w:rPr>
                    <w:rFonts w:ascii="Cambria Math" w:eastAsia="Cambria Math" w:hAnsi="Cambria Math" w:cs="Cambria Math"/>
                    <w:bCs/>
                    <w:iCs/>
                    <w:color w:val="6E6E7C"/>
                    <w:sz w:val="20"/>
                    <w:szCs w:val="20"/>
                  </w:rPr>
                </m:ctrlPr>
              </m:e>
              <m:e>
                <m:r>
                  <m:rPr>
                    <m:sty m:val="b"/>
                  </m:rPr>
                  <w:rPr>
                    <w:rFonts w:ascii="Cambria Math" w:eastAsia="Cambria Math" w:hAnsi="Cambria Math" w:cs="Cambria Math"/>
                    <w:color w:val="6E6E7C"/>
                    <w:sz w:val="20"/>
                    <w:szCs w:val="20"/>
                  </w:rPr>
                  <m:t>=</m:t>
                </m:r>
                <m:ctrlPr>
                  <w:rPr>
                    <w:rFonts w:ascii="Cambria Math" w:eastAsia="Cambria Math" w:hAnsi="Cambria Math" w:cs="Cambria Math"/>
                    <w:bCs/>
                    <w:iCs/>
                    <w:color w:val="6E6E7C"/>
                    <w:sz w:val="20"/>
                    <w:szCs w:val="20"/>
                  </w:rPr>
                </m:ctrlPr>
              </m:e>
              <m:e>
                <m:r>
                  <m:rPr>
                    <m:sty m:val="bi"/>
                  </m:rPr>
                  <w:rPr>
                    <w:rFonts w:ascii="Cambria Math" w:eastAsia="Calibri" w:hAnsi="Cambria Math" w:cs="Arial"/>
                    <w:color w:val="6E6E7C"/>
                    <w:sz w:val="20"/>
                    <w:szCs w:val="20"/>
                  </w:rPr>
                  <m:t>Error relativo máximo admisible</m:t>
                </m:r>
                <m:ctrlPr>
                  <w:rPr>
                    <w:rFonts w:ascii="Cambria Math" w:eastAsia="Cambria Math" w:hAnsi="Cambria Math" w:cs="Cambria Math"/>
                    <w:bCs/>
                    <w:iCs/>
                    <w:color w:val="6E6E7C"/>
                    <w:sz w:val="20"/>
                    <w:szCs w:val="20"/>
                  </w:rPr>
                </m:ctrlPr>
              </m:e>
            </m:mr>
            <m:mr>
              <m:e>
                <m:r>
                  <m:rPr>
                    <m:sty m:val="b"/>
                  </m:rPr>
                  <w:rPr>
                    <w:rFonts w:ascii="Cambria Math" w:eastAsia="Cambria Math" w:hAnsi="Cambria Math" w:cs="Cambria Math"/>
                    <w:color w:val="6E6E7C"/>
                    <w:sz w:val="20"/>
                    <w:szCs w:val="20"/>
                  </w:rPr>
                  <m:t>z</m:t>
                </m:r>
              </m:e>
              <m:e>
                <m:r>
                  <m:rPr>
                    <m:sty m:val="b"/>
                  </m:rPr>
                  <w:rPr>
                    <w:rFonts w:ascii="Cambria Math" w:eastAsia="Calibri" w:hAnsi="Cambria Math" w:cs="Arial"/>
                    <w:color w:val="6E6E7C"/>
                    <w:sz w:val="20"/>
                    <w:szCs w:val="20"/>
                  </w:rPr>
                  <m:t>=</m:t>
                </m:r>
              </m:e>
              <m:e>
                <m:r>
                  <m:rPr>
                    <m:sty m:val="bi"/>
                  </m:rPr>
                  <w:rPr>
                    <w:rFonts w:ascii="Cambria Math" w:eastAsia="Calibri" w:hAnsi="Cambria Math" w:cs="Arial"/>
                    <w:color w:val="6E6E7C"/>
                    <w:sz w:val="20"/>
                    <w:szCs w:val="20"/>
                  </w:rPr>
                  <m:t>Coeficiente que representa el nivel de seguridad o confianza</m:t>
                </m:r>
                <m:r>
                  <m:rPr>
                    <m:sty m:val="b"/>
                  </m:rPr>
                  <w:rPr>
                    <w:rFonts w:ascii="Cambria Math" w:eastAsia="Calibri" w:hAnsi="Cambria Math" w:cs="Arial"/>
                    <w:color w:val="6E6E7C"/>
                    <w:sz w:val="20"/>
                    <w:szCs w:val="20"/>
                  </w:rPr>
                  <m:t xml:space="preserve"> </m:t>
                </m:r>
                <m:ctrlPr>
                  <w:rPr>
                    <w:rFonts w:ascii="Cambria Math" w:eastAsia="Cambria Math" w:hAnsi="Cambria Math" w:cs="Cambria Math"/>
                    <w:bCs/>
                    <w:iCs/>
                    <w:color w:val="6E6E7C"/>
                    <w:sz w:val="20"/>
                    <w:szCs w:val="20"/>
                  </w:rPr>
                </m:ctrlPr>
              </m:e>
            </m:mr>
            <m:mr>
              <m:e>
                <m:sSub>
                  <m:sSubPr>
                    <m:ctrlPr>
                      <w:rPr>
                        <w:rFonts w:ascii="Cambria Math" w:eastAsia="Cambria Math" w:hAnsi="Cambria Math" w:cs="Cambria Math"/>
                        <w:bCs/>
                        <w:iCs/>
                        <w:color w:val="6E6E7C"/>
                        <w:sz w:val="20"/>
                        <w:szCs w:val="20"/>
                      </w:rPr>
                    </m:ctrlPr>
                  </m:sSubPr>
                  <m:e>
                    <m:r>
                      <m:rPr>
                        <m:sty m:val="b"/>
                      </m:rPr>
                      <w:rPr>
                        <w:rFonts w:ascii="Cambria Math" w:eastAsia="Cambria Math" w:hAnsi="Cambria Math" w:cs="Cambria Math"/>
                        <w:color w:val="6E6E7C"/>
                        <w:sz w:val="20"/>
                        <w:szCs w:val="20"/>
                      </w:rPr>
                      <m:t>tnr</m:t>
                    </m:r>
                  </m:e>
                  <m:sub>
                    <m:r>
                      <m:rPr>
                        <m:sty m:val="bi"/>
                      </m:rPr>
                      <w:rPr>
                        <w:rFonts w:ascii="Cambria Math" w:eastAsia="Cambria Math" w:hAnsi="Cambria Math" w:cs="Cambria Math"/>
                        <w:color w:val="6E6E7C"/>
                        <w:sz w:val="20"/>
                        <w:szCs w:val="20"/>
                      </w:rPr>
                      <m:t>i</m:t>
                    </m:r>
                  </m:sub>
                </m:sSub>
                <m:ctrlPr>
                  <w:rPr>
                    <w:rFonts w:ascii="Cambria Math" w:eastAsia="Cambria Math" w:hAnsi="Cambria Math" w:cs="Cambria Math"/>
                    <w:bCs/>
                    <w:iCs/>
                    <w:color w:val="6E6E7C"/>
                    <w:sz w:val="20"/>
                    <w:szCs w:val="20"/>
                  </w:rPr>
                </m:ctrlPr>
              </m:e>
              <m:e>
                <m:r>
                  <m:rPr>
                    <m:sty m:val="b"/>
                  </m:rPr>
                  <w:rPr>
                    <w:rFonts w:ascii="Cambria Math" w:eastAsia="Cambria Math" w:hAnsi="Cambria Math" w:cs="Cambria Math"/>
                    <w:color w:val="6E6E7C"/>
                    <w:sz w:val="20"/>
                    <w:szCs w:val="20"/>
                  </w:rPr>
                  <m:t>=</m:t>
                </m:r>
                <m:ctrlPr>
                  <w:rPr>
                    <w:rFonts w:ascii="Cambria Math" w:eastAsia="Cambria Math" w:hAnsi="Cambria Math" w:cs="Cambria Math"/>
                    <w:bCs/>
                    <w:iCs/>
                    <w:color w:val="6E6E7C"/>
                    <w:sz w:val="20"/>
                    <w:szCs w:val="20"/>
                  </w:rPr>
                </m:ctrlPr>
              </m:e>
              <m:e>
                <m:r>
                  <m:rPr>
                    <m:sty m:val="bi"/>
                  </m:rPr>
                  <w:rPr>
                    <w:rFonts w:ascii="Cambria Math" w:eastAsia="Cambria Math" w:hAnsi="Cambria Math" w:cs="Cambria Math"/>
                    <w:color w:val="6E6E7C"/>
                    <w:sz w:val="20"/>
                    <w:szCs w:val="20"/>
                  </w:rPr>
                  <m:t>Tasa de no respuesta del dominio i</m:t>
                </m:r>
              </m:e>
            </m:mr>
          </m:m>
        </m:oMath>
      </m:oMathPara>
    </w:p>
    <w:p w14:paraId="0C392F24" w14:textId="77777777" w:rsidR="006A74FA" w:rsidRPr="00582936" w:rsidRDefault="006A74FA" w:rsidP="006A74FA">
      <w:pPr>
        <w:spacing w:line="259" w:lineRule="auto"/>
        <w:jc w:val="both"/>
        <w:rPr>
          <w:rFonts w:ascii="Century Gothic" w:eastAsia="Calibri" w:hAnsi="Century Gothic" w:cs="Times New Roman"/>
          <w:bCs/>
          <w:iCs/>
          <w:color w:val="6E6E7C"/>
          <w:sz w:val="20"/>
          <w:szCs w:val="22"/>
        </w:rPr>
      </w:pPr>
    </w:p>
    <w:p w14:paraId="08D23B98" w14:textId="77777777" w:rsidR="006A74FA" w:rsidRPr="00582936" w:rsidRDefault="006A74FA" w:rsidP="006A74FA">
      <w:pPr>
        <w:spacing w:after="160" w:line="259"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La </w:t>
      </w:r>
      <w:proofErr w:type="spellStart"/>
      <w:r w:rsidRPr="00582936">
        <w:rPr>
          <w:rFonts w:ascii="Century Gothic" w:eastAsia="Calibri" w:hAnsi="Century Gothic" w:cs="Times New Roman"/>
          <w:iCs/>
          <w:color w:val="6E6E7C"/>
          <w:sz w:val="21"/>
          <w:szCs w:val="21"/>
          <w:lang w:eastAsia="es-EC"/>
        </w:rPr>
        <w:t>cuasivarianza</w:t>
      </w:r>
      <w:proofErr w:type="spellEnd"/>
      <w:r w:rsidRPr="00582936">
        <w:rPr>
          <w:rFonts w:ascii="Century Gothic" w:eastAsia="Calibri" w:hAnsi="Century Gothic" w:cs="Times New Roman"/>
          <w:iCs/>
          <w:color w:val="6E6E7C"/>
          <w:sz w:val="21"/>
          <w:szCs w:val="21"/>
          <w:lang w:eastAsia="es-EC"/>
        </w:rPr>
        <w:t xml:space="preserve"> representa la variabilidad del dominio a partir de la información de la variable de diseño.</w:t>
      </w:r>
    </w:p>
    <w:p w14:paraId="0444DC96" w14:textId="77777777" w:rsidR="006A74FA" w:rsidRPr="00A02A19" w:rsidRDefault="006A74FA" w:rsidP="006A74FA">
      <w:pPr>
        <w:rPr>
          <w:rFonts w:ascii="Century Gothic" w:hAnsi="Century Gothic"/>
          <w:color w:val="6E6E7C"/>
          <w:sz w:val="8"/>
        </w:rPr>
      </w:pPr>
    </w:p>
    <w:p w14:paraId="60CF19F7"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37" w:name="_Toc126657989"/>
      <w:bookmarkStart w:id="138" w:name="_Toc148617341"/>
      <w:bookmarkStart w:id="139" w:name="_Toc161322553"/>
      <w:r w:rsidRPr="00BD0CD2">
        <w:rPr>
          <w:rFonts w:eastAsiaTheme="minorHAnsi" w:cstheme="minorBidi"/>
          <w:bCs/>
          <w:color w:val="6E6E7C"/>
          <w:sz w:val="28"/>
          <w:szCs w:val="44"/>
        </w:rPr>
        <w:t>Selección de la muestra</w:t>
      </w:r>
      <w:bookmarkEnd w:id="137"/>
      <w:bookmarkEnd w:id="138"/>
      <w:bookmarkEnd w:id="139"/>
    </w:p>
    <w:p w14:paraId="042410C5" w14:textId="77777777" w:rsidR="006A74FA" w:rsidRPr="00582936" w:rsidRDefault="006A74FA" w:rsidP="006A74FA">
      <w:pPr>
        <w:spacing w:after="200"/>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La selección de las empresas que forman parte de la muestra, de acuerdo con el tamaño establecido, se realiza independientemente en cada uno de los dominios de manera aleatoria, asignando a cada empresa igual probabilidad.</w:t>
      </w:r>
    </w:p>
    <w:p w14:paraId="0DEA7D73" w14:textId="40A99C46" w:rsidR="006A74FA" w:rsidRPr="00E12A6A"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40" w:name="_Toc126657990"/>
      <w:bookmarkStart w:id="141" w:name="_Toc148617342"/>
      <w:bookmarkStart w:id="142" w:name="_Toc161322554"/>
      <w:r w:rsidRPr="00BD0CD2">
        <w:rPr>
          <w:rFonts w:eastAsiaTheme="minorHAnsi" w:cstheme="minorBidi"/>
          <w:bCs/>
          <w:color w:val="6E6E7C"/>
          <w:sz w:val="28"/>
          <w:szCs w:val="44"/>
        </w:rPr>
        <w:t>Control de cobertura de campo y muestral</w:t>
      </w:r>
      <w:bookmarkEnd w:id="140"/>
      <w:bookmarkEnd w:id="141"/>
      <w:bookmarkEnd w:id="142"/>
    </w:p>
    <w:p w14:paraId="77DB4A2A" w14:textId="77777777" w:rsidR="006A74FA" w:rsidRPr="00582936" w:rsidRDefault="006A74FA" w:rsidP="006A74FA">
      <w:pPr>
        <w:spacing w:after="200"/>
        <w:jc w:val="both"/>
        <w:rPr>
          <w:rFonts w:ascii="Century Gothic" w:eastAsia="Calibri" w:hAnsi="Century Gothic" w:cs="Times New Roman"/>
          <w:iCs/>
          <w:color w:val="6E6E7C"/>
          <w:sz w:val="21"/>
          <w:szCs w:val="21"/>
          <w:lang w:eastAsia="es-EC"/>
        </w:rPr>
      </w:pPr>
      <w:bookmarkStart w:id="143" w:name="_Toc3905029"/>
      <w:bookmarkStart w:id="144" w:name="_Toc7095971"/>
      <w:r w:rsidRPr="00582936">
        <w:rPr>
          <w:rFonts w:ascii="Century Gothic" w:eastAsia="Calibri" w:hAnsi="Century Gothic" w:cs="Times New Roman"/>
          <w:iCs/>
          <w:color w:val="6E6E7C"/>
          <w:sz w:val="21"/>
          <w:szCs w:val="21"/>
          <w:lang w:eastAsia="es-EC"/>
        </w:rPr>
        <w:t xml:space="preserve">Del total de la muestra de la ENESEM 2022 (4.307 empresas), se generan resultados para la </w:t>
      </w:r>
      <w:r w:rsidR="009544A1">
        <w:rPr>
          <w:rFonts w:ascii="Century Gothic" w:eastAsia="Calibri" w:hAnsi="Century Gothic" w:cs="Times New Roman"/>
          <w:iCs/>
          <w:color w:val="6E6E7C"/>
          <w:sz w:val="21"/>
          <w:szCs w:val="21"/>
          <w:lang w:eastAsia="es-EC"/>
        </w:rPr>
        <w:t>publicación con 3.951 empresas</w:t>
      </w:r>
      <w:r w:rsidRPr="00582936">
        <w:rPr>
          <w:rFonts w:ascii="Century Gothic" w:eastAsia="Calibri" w:hAnsi="Century Gothic" w:cs="Times New Roman"/>
          <w:iCs/>
          <w:color w:val="6E6E7C"/>
          <w:sz w:val="21"/>
          <w:szCs w:val="21"/>
          <w:lang w:eastAsia="es-EC"/>
        </w:rPr>
        <w:t xml:space="preserve">, esto es el 91.7% de la muestra.   </w:t>
      </w:r>
    </w:p>
    <w:p w14:paraId="32B91F99" w14:textId="77777777" w:rsidR="006A74FA" w:rsidRPr="00582936" w:rsidRDefault="006A74FA" w:rsidP="006A74FA">
      <w:pPr>
        <w:spacing w:after="200"/>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La distribución de la muestra por cada sector económico y tamaño según las etapas de procesamiento y análisis se presenta a continuación:</w:t>
      </w:r>
    </w:p>
    <w:p w14:paraId="02FE119E" w14:textId="77777777" w:rsidR="006A74FA" w:rsidRPr="00582936" w:rsidRDefault="006A74FA" w:rsidP="00BD2C91">
      <w:pPr>
        <w:keepNext/>
        <w:jc w:val="center"/>
        <w:rPr>
          <w:rFonts w:ascii="Century Gothic" w:eastAsia="Calibri" w:hAnsi="Century Gothic" w:cs="Arial"/>
          <w:iCs/>
          <w:color w:val="6E6E7C"/>
          <w:sz w:val="18"/>
          <w:szCs w:val="18"/>
        </w:rPr>
      </w:pPr>
      <w:bookmarkStart w:id="145" w:name="_Toc101420788"/>
      <w:bookmarkStart w:id="146" w:name="_Toc128467614"/>
      <w:bookmarkStart w:id="147" w:name="_Toc130899612"/>
      <w:bookmarkStart w:id="148" w:name="_Toc157006144"/>
      <w:bookmarkStart w:id="149" w:name="_Toc157006968"/>
      <w:bookmarkStart w:id="150" w:name="_Toc157368484"/>
      <w:bookmarkStart w:id="151" w:name="_Toc157585780"/>
      <w:bookmarkStart w:id="152" w:name="_Toc157671117"/>
      <w:bookmarkStart w:id="153" w:name="_Toc158206883"/>
      <w:bookmarkStart w:id="154" w:name="_Toc161322599"/>
      <w:r w:rsidRPr="00582936">
        <w:rPr>
          <w:rFonts w:ascii="Century Gothic" w:eastAsia="Calibri" w:hAnsi="Century Gothic" w:cs="Times New Roman"/>
          <w:b/>
          <w:bCs/>
          <w:iCs/>
          <w:color w:val="6E6E7C"/>
          <w:sz w:val="18"/>
          <w:szCs w:val="18"/>
        </w:rPr>
        <w:t xml:space="preserve">Tabla </w:t>
      </w:r>
      <w:r w:rsidRPr="00582936">
        <w:rPr>
          <w:rFonts w:ascii="Century Gothic" w:eastAsia="Calibri" w:hAnsi="Century Gothic" w:cs="Times New Roman"/>
          <w:b/>
          <w:bCs/>
          <w:iCs/>
          <w:color w:val="6E6E7C"/>
          <w:sz w:val="18"/>
          <w:szCs w:val="18"/>
        </w:rPr>
        <w:fldChar w:fldCharType="begin"/>
      </w:r>
      <w:r w:rsidRPr="00582936">
        <w:rPr>
          <w:rFonts w:ascii="Century Gothic" w:eastAsia="Calibri" w:hAnsi="Century Gothic" w:cs="Times New Roman"/>
          <w:b/>
          <w:bCs/>
          <w:iCs/>
          <w:color w:val="6E6E7C"/>
          <w:sz w:val="18"/>
          <w:szCs w:val="18"/>
        </w:rPr>
        <w:instrText xml:space="preserve"> SEQ Tabla \* ARABIC </w:instrText>
      </w:r>
      <w:r w:rsidRPr="00582936">
        <w:rPr>
          <w:rFonts w:ascii="Century Gothic" w:eastAsia="Calibri" w:hAnsi="Century Gothic" w:cs="Times New Roman"/>
          <w:b/>
          <w:bCs/>
          <w:iCs/>
          <w:color w:val="6E6E7C"/>
          <w:sz w:val="18"/>
          <w:szCs w:val="18"/>
        </w:rPr>
        <w:fldChar w:fldCharType="separate"/>
      </w:r>
      <w:r w:rsidR="00CF3585">
        <w:rPr>
          <w:rFonts w:ascii="Century Gothic" w:eastAsia="Calibri" w:hAnsi="Century Gothic" w:cs="Times New Roman"/>
          <w:b/>
          <w:bCs/>
          <w:iCs/>
          <w:noProof/>
          <w:color w:val="6E6E7C"/>
          <w:sz w:val="18"/>
          <w:szCs w:val="18"/>
        </w:rPr>
        <w:t>5</w:t>
      </w:r>
      <w:r w:rsidRPr="00582936">
        <w:rPr>
          <w:rFonts w:ascii="Century Gothic" w:eastAsia="Calibri" w:hAnsi="Century Gothic" w:cs="Times New Roman"/>
          <w:b/>
          <w:bCs/>
          <w:iCs/>
          <w:color w:val="6E6E7C"/>
          <w:sz w:val="18"/>
          <w:szCs w:val="18"/>
        </w:rPr>
        <w:fldChar w:fldCharType="end"/>
      </w:r>
      <w:r w:rsidRPr="00582936">
        <w:rPr>
          <w:rFonts w:ascii="Century Gothic" w:eastAsia="Calibri" w:hAnsi="Century Gothic" w:cs="Times New Roman"/>
          <w:b/>
          <w:bCs/>
          <w:iCs/>
          <w:color w:val="6E6E7C"/>
          <w:sz w:val="18"/>
          <w:szCs w:val="18"/>
        </w:rPr>
        <w:t>.</w:t>
      </w:r>
      <w:r w:rsidRPr="00582936">
        <w:rPr>
          <w:rFonts w:ascii="Century Gothic" w:eastAsia="Calibri" w:hAnsi="Century Gothic" w:cs="Arial"/>
          <w:b/>
          <w:iCs/>
          <w:color w:val="6E6E7C"/>
          <w:sz w:val="18"/>
          <w:szCs w:val="18"/>
        </w:rPr>
        <w:t xml:space="preserve"> </w:t>
      </w:r>
      <w:r w:rsidRPr="00582936">
        <w:rPr>
          <w:rFonts w:ascii="Century Gothic" w:eastAsia="Calibri" w:hAnsi="Century Gothic" w:cs="Arial"/>
          <w:iCs/>
          <w:color w:val="6E6E7C"/>
          <w:sz w:val="18"/>
          <w:szCs w:val="18"/>
        </w:rPr>
        <w:t>Cobertura por sector económico</w:t>
      </w:r>
      <w:bookmarkEnd w:id="143"/>
      <w:r w:rsidRPr="00582936">
        <w:rPr>
          <w:rFonts w:ascii="Century Gothic" w:eastAsia="Calibri" w:hAnsi="Century Gothic" w:cs="Times New Roman"/>
          <w:bCs/>
          <w:iCs/>
          <w:color w:val="6E6E7C"/>
          <w:sz w:val="18"/>
          <w:szCs w:val="18"/>
        </w:rPr>
        <w:t xml:space="preserve"> </w:t>
      </w:r>
      <w:r w:rsidRPr="00582936">
        <w:rPr>
          <w:rFonts w:ascii="Century Gothic" w:eastAsia="Calibri" w:hAnsi="Century Gothic" w:cs="Arial"/>
          <w:iCs/>
          <w:color w:val="6E6E7C"/>
          <w:sz w:val="18"/>
          <w:szCs w:val="18"/>
        </w:rPr>
        <w:t>y tamaño (número de empresas).</w:t>
      </w:r>
      <w:bookmarkEnd w:id="144"/>
      <w:bookmarkEnd w:id="145"/>
      <w:bookmarkEnd w:id="146"/>
      <w:bookmarkEnd w:id="147"/>
      <w:bookmarkEnd w:id="148"/>
      <w:bookmarkEnd w:id="149"/>
      <w:bookmarkEnd w:id="150"/>
      <w:bookmarkEnd w:id="151"/>
      <w:bookmarkEnd w:id="152"/>
      <w:bookmarkEnd w:id="153"/>
      <w:bookmarkEnd w:id="154"/>
    </w:p>
    <w:tbl>
      <w:tblPr>
        <w:tblpPr w:leftFromText="141" w:rightFromText="141" w:vertAnchor="text" w:horzAnchor="margin" w:tblpY="13"/>
        <w:tblW w:w="8494" w:type="dxa"/>
        <w:tblBorders>
          <w:top w:val="single" w:sz="8" w:space="0" w:color="767171"/>
          <w:left w:val="single" w:sz="8" w:space="0" w:color="767171"/>
          <w:bottom w:val="single" w:sz="8" w:space="0" w:color="767171"/>
          <w:right w:val="single" w:sz="8" w:space="0" w:color="767171"/>
          <w:insideH w:val="single" w:sz="8" w:space="0" w:color="767171"/>
          <w:insideV w:val="single" w:sz="8" w:space="0" w:color="767171"/>
        </w:tblBorders>
        <w:tblLayout w:type="fixed"/>
        <w:tblLook w:val="0400" w:firstRow="0" w:lastRow="0" w:firstColumn="0" w:lastColumn="0" w:noHBand="0" w:noVBand="1"/>
      </w:tblPr>
      <w:tblGrid>
        <w:gridCol w:w="3993"/>
        <w:gridCol w:w="1559"/>
        <w:gridCol w:w="2942"/>
      </w:tblGrid>
      <w:tr w:rsidR="00CF3585" w:rsidRPr="00582936" w14:paraId="1867DE50" w14:textId="77777777" w:rsidTr="00460317">
        <w:trPr>
          <w:trHeight w:val="184"/>
        </w:trPr>
        <w:tc>
          <w:tcPr>
            <w:tcW w:w="3993" w:type="dxa"/>
            <w:shd w:val="clear" w:color="auto" w:fill="4266CE"/>
            <w:vAlign w:val="center"/>
          </w:tcPr>
          <w:p w14:paraId="67F6967D" w14:textId="77777777" w:rsidR="00CF3585" w:rsidRPr="00460317" w:rsidRDefault="00CF3585" w:rsidP="00CF3585">
            <w:pPr>
              <w:jc w:val="center"/>
              <w:rPr>
                <w:rFonts w:ascii="Century Gothic" w:eastAsia="Calibri" w:hAnsi="Century Gothic" w:cs="Times New Roman"/>
                <w:b/>
                <w:iCs/>
                <w:color w:val="FFFFFF" w:themeColor="background1"/>
                <w:sz w:val="16"/>
                <w:szCs w:val="16"/>
              </w:rPr>
            </w:pPr>
            <w:r w:rsidRPr="00460317">
              <w:rPr>
                <w:rFonts w:ascii="Century Gothic" w:eastAsia="Calibri" w:hAnsi="Century Gothic" w:cs="Times New Roman"/>
                <w:b/>
                <w:iCs/>
                <w:color w:val="FFFFFF" w:themeColor="background1"/>
                <w:sz w:val="16"/>
                <w:szCs w:val="16"/>
              </w:rPr>
              <w:t>Descripción</w:t>
            </w:r>
          </w:p>
        </w:tc>
        <w:tc>
          <w:tcPr>
            <w:tcW w:w="1559" w:type="dxa"/>
            <w:shd w:val="clear" w:color="auto" w:fill="4266CE"/>
            <w:vAlign w:val="center"/>
          </w:tcPr>
          <w:p w14:paraId="79F82D2C" w14:textId="77777777" w:rsidR="00CF3585" w:rsidRPr="00460317" w:rsidRDefault="00CF3585" w:rsidP="00CF3585">
            <w:pPr>
              <w:jc w:val="center"/>
              <w:rPr>
                <w:rFonts w:ascii="Century Gothic" w:eastAsia="Calibri" w:hAnsi="Century Gothic" w:cs="Times New Roman"/>
                <w:b/>
                <w:iCs/>
                <w:color w:val="FFFFFF" w:themeColor="background1"/>
                <w:sz w:val="16"/>
                <w:szCs w:val="16"/>
              </w:rPr>
            </w:pPr>
            <w:r w:rsidRPr="00460317">
              <w:rPr>
                <w:rFonts w:ascii="Century Gothic" w:eastAsia="Calibri" w:hAnsi="Century Gothic" w:cs="Times New Roman"/>
                <w:b/>
                <w:iCs/>
                <w:color w:val="FFFFFF" w:themeColor="background1"/>
                <w:sz w:val="16"/>
                <w:szCs w:val="16"/>
              </w:rPr>
              <w:t>Muestra</w:t>
            </w:r>
          </w:p>
        </w:tc>
        <w:tc>
          <w:tcPr>
            <w:tcW w:w="2941" w:type="dxa"/>
            <w:shd w:val="clear" w:color="auto" w:fill="4266CE"/>
            <w:vAlign w:val="center"/>
          </w:tcPr>
          <w:p w14:paraId="40E9FA2E" w14:textId="77777777" w:rsidR="00CF3585" w:rsidRPr="00460317" w:rsidRDefault="00CF3585" w:rsidP="00CF3585">
            <w:pPr>
              <w:jc w:val="center"/>
              <w:rPr>
                <w:rFonts w:ascii="Century Gothic" w:eastAsia="Calibri" w:hAnsi="Century Gothic" w:cs="Times New Roman"/>
                <w:b/>
                <w:iCs/>
                <w:color w:val="FFFFFF" w:themeColor="background1"/>
                <w:sz w:val="16"/>
                <w:szCs w:val="16"/>
              </w:rPr>
            </w:pPr>
            <w:r w:rsidRPr="00460317">
              <w:rPr>
                <w:rFonts w:ascii="Century Gothic" w:eastAsia="Calibri" w:hAnsi="Century Gothic" w:cs="Times New Roman"/>
                <w:b/>
                <w:iCs/>
                <w:color w:val="FFFFFF" w:themeColor="background1"/>
                <w:sz w:val="16"/>
                <w:szCs w:val="16"/>
              </w:rPr>
              <w:t>Empresas efectivas</w:t>
            </w:r>
          </w:p>
          <w:p w14:paraId="6B2F80AA" w14:textId="77777777" w:rsidR="00CF3585" w:rsidRPr="00460317" w:rsidRDefault="00CF3585" w:rsidP="00CF3585">
            <w:pPr>
              <w:jc w:val="center"/>
              <w:rPr>
                <w:rFonts w:ascii="Century Gothic" w:eastAsia="Calibri" w:hAnsi="Century Gothic" w:cs="Times New Roman"/>
                <w:b/>
                <w:iCs/>
                <w:color w:val="FFFFFF" w:themeColor="background1"/>
                <w:sz w:val="16"/>
                <w:szCs w:val="16"/>
              </w:rPr>
            </w:pPr>
            <w:r w:rsidRPr="00460317">
              <w:rPr>
                <w:rFonts w:ascii="Century Gothic" w:eastAsia="Calibri" w:hAnsi="Century Gothic" w:cs="Times New Roman"/>
                <w:b/>
                <w:iCs/>
                <w:color w:val="FFFFFF" w:themeColor="background1"/>
                <w:sz w:val="16"/>
                <w:szCs w:val="16"/>
              </w:rPr>
              <w:t>(de publicación)</w:t>
            </w:r>
          </w:p>
        </w:tc>
      </w:tr>
      <w:tr w:rsidR="00CF3585" w:rsidRPr="00582936" w14:paraId="1C138B1D" w14:textId="77777777" w:rsidTr="00E12A6A">
        <w:trPr>
          <w:trHeight w:val="184"/>
        </w:trPr>
        <w:tc>
          <w:tcPr>
            <w:tcW w:w="8494" w:type="dxa"/>
            <w:gridSpan w:val="3"/>
            <w:shd w:val="clear" w:color="auto" w:fill="auto"/>
            <w:vAlign w:val="center"/>
          </w:tcPr>
          <w:p w14:paraId="63C873E9" w14:textId="77777777" w:rsidR="00CF3585" w:rsidRPr="00582936" w:rsidRDefault="00CF3585" w:rsidP="00CF3585">
            <w:pP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Por sector económico</w:t>
            </w:r>
          </w:p>
        </w:tc>
      </w:tr>
      <w:tr w:rsidR="00CF3585" w:rsidRPr="00582936" w14:paraId="15C3DE17" w14:textId="77777777" w:rsidTr="00E12A6A">
        <w:trPr>
          <w:trHeight w:val="184"/>
        </w:trPr>
        <w:tc>
          <w:tcPr>
            <w:tcW w:w="3993" w:type="dxa"/>
            <w:shd w:val="clear" w:color="auto" w:fill="auto"/>
            <w:vAlign w:val="center"/>
          </w:tcPr>
          <w:p w14:paraId="34CC865E"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Minería</w:t>
            </w:r>
          </w:p>
        </w:tc>
        <w:tc>
          <w:tcPr>
            <w:tcW w:w="1559" w:type="dxa"/>
            <w:shd w:val="clear" w:color="auto" w:fill="auto"/>
            <w:vAlign w:val="center"/>
          </w:tcPr>
          <w:p w14:paraId="254B8BC8"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166</w:t>
            </w:r>
          </w:p>
        </w:tc>
        <w:tc>
          <w:tcPr>
            <w:tcW w:w="2941" w:type="dxa"/>
            <w:shd w:val="clear" w:color="auto" w:fill="auto"/>
            <w:vAlign w:val="center"/>
          </w:tcPr>
          <w:p w14:paraId="5E3E4402"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136</w:t>
            </w:r>
          </w:p>
        </w:tc>
      </w:tr>
      <w:tr w:rsidR="00CF3585" w:rsidRPr="00582936" w14:paraId="1C51A06C" w14:textId="77777777" w:rsidTr="00E12A6A">
        <w:trPr>
          <w:trHeight w:val="184"/>
        </w:trPr>
        <w:tc>
          <w:tcPr>
            <w:tcW w:w="3993" w:type="dxa"/>
            <w:shd w:val="clear" w:color="auto" w:fill="auto"/>
            <w:vAlign w:val="center"/>
          </w:tcPr>
          <w:p w14:paraId="162BD846"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Manufactura</w:t>
            </w:r>
          </w:p>
        </w:tc>
        <w:tc>
          <w:tcPr>
            <w:tcW w:w="1559" w:type="dxa"/>
            <w:shd w:val="clear" w:color="auto" w:fill="auto"/>
            <w:vAlign w:val="center"/>
          </w:tcPr>
          <w:p w14:paraId="2B14A696"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780</w:t>
            </w:r>
          </w:p>
        </w:tc>
        <w:tc>
          <w:tcPr>
            <w:tcW w:w="2941" w:type="dxa"/>
            <w:shd w:val="clear" w:color="auto" w:fill="auto"/>
            <w:vAlign w:val="center"/>
          </w:tcPr>
          <w:p w14:paraId="524781F6"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731</w:t>
            </w:r>
          </w:p>
        </w:tc>
      </w:tr>
      <w:tr w:rsidR="00CF3585" w:rsidRPr="00582936" w14:paraId="6318D91D" w14:textId="77777777" w:rsidTr="00E12A6A">
        <w:trPr>
          <w:trHeight w:val="184"/>
        </w:trPr>
        <w:tc>
          <w:tcPr>
            <w:tcW w:w="3993" w:type="dxa"/>
            <w:shd w:val="clear" w:color="auto" w:fill="auto"/>
            <w:vAlign w:val="center"/>
          </w:tcPr>
          <w:p w14:paraId="028411DA"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Construcción</w:t>
            </w:r>
          </w:p>
        </w:tc>
        <w:tc>
          <w:tcPr>
            <w:tcW w:w="1559" w:type="dxa"/>
            <w:shd w:val="clear" w:color="auto" w:fill="auto"/>
            <w:vAlign w:val="center"/>
          </w:tcPr>
          <w:p w14:paraId="1FAD77AB"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207</w:t>
            </w:r>
          </w:p>
        </w:tc>
        <w:tc>
          <w:tcPr>
            <w:tcW w:w="2941" w:type="dxa"/>
            <w:shd w:val="clear" w:color="auto" w:fill="auto"/>
            <w:vAlign w:val="center"/>
          </w:tcPr>
          <w:p w14:paraId="5CD499B0"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156</w:t>
            </w:r>
          </w:p>
        </w:tc>
      </w:tr>
      <w:tr w:rsidR="00CF3585" w:rsidRPr="00582936" w14:paraId="79DB4915" w14:textId="77777777" w:rsidTr="00E12A6A">
        <w:trPr>
          <w:trHeight w:val="184"/>
        </w:trPr>
        <w:tc>
          <w:tcPr>
            <w:tcW w:w="3993" w:type="dxa"/>
            <w:shd w:val="clear" w:color="auto" w:fill="auto"/>
            <w:vAlign w:val="center"/>
          </w:tcPr>
          <w:p w14:paraId="4B4E281E"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Comercio</w:t>
            </w:r>
          </w:p>
        </w:tc>
        <w:tc>
          <w:tcPr>
            <w:tcW w:w="1559" w:type="dxa"/>
            <w:shd w:val="clear" w:color="auto" w:fill="auto"/>
            <w:vAlign w:val="center"/>
          </w:tcPr>
          <w:p w14:paraId="1065E709"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1.845</w:t>
            </w:r>
          </w:p>
        </w:tc>
        <w:tc>
          <w:tcPr>
            <w:tcW w:w="2941" w:type="dxa"/>
            <w:shd w:val="clear" w:color="auto" w:fill="auto"/>
            <w:vAlign w:val="center"/>
          </w:tcPr>
          <w:p w14:paraId="305CF978"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1.738</w:t>
            </w:r>
          </w:p>
        </w:tc>
      </w:tr>
      <w:tr w:rsidR="00CF3585" w:rsidRPr="00582936" w14:paraId="4D62778C" w14:textId="77777777" w:rsidTr="00E12A6A">
        <w:trPr>
          <w:trHeight w:val="184"/>
        </w:trPr>
        <w:tc>
          <w:tcPr>
            <w:tcW w:w="3993" w:type="dxa"/>
            <w:shd w:val="clear" w:color="auto" w:fill="auto"/>
            <w:vAlign w:val="center"/>
          </w:tcPr>
          <w:p w14:paraId="6C8F9852"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Servicios</w:t>
            </w:r>
          </w:p>
        </w:tc>
        <w:tc>
          <w:tcPr>
            <w:tcW w:w="1559" w:type="dxa"/>
            <w:shd w:val="clear" w:color="auto" w:fill="auto"/>
            <w:vAlign w:val="center"/>
          </w:tcPr>
          <w:p w14:paraId="5BD37EFE"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1.309</w:t>
            </w:r>
          </w:p>
        </w:tc>
        <w:tc>
          <w:tcPr>
            <w:tcW w:w="2941" w:type="dxa"/>
            <w:shd w:val="clear" w:color="auto" w:fill="auto"/>
            <w:vAlign w:val="center"/>
          </w:tcPr>
          <w:p w14:paraId="5BBBC431"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1.190</w:t>
            </w:r>
          </w:p>
        </w:tc>
      </w:tr>
      <w:tr w:rsidR="00CF3585" w:rsidRPr="00582936" w14:paraId="7B3756C6" w14:textId="77777777" w:rsidTr="00E12A6A">
        <w:trPr>
          <w:trHeight w:val="184"/>
        </w:trPr>
        <w:tc>
          <w:tcPr>
            <w:tcW w:w="3993" w:type="dxa"/>
            <w:shd w:val="clear" w:color="auto" w:fill="auto"/>
            <w:vAlign w:val="center"/>
          </w:tcPr>
          <w:p w14:paraId="55911757" w14:textId="77777777" w:rsidR="00CF3585" w:rsidRPr="00582936" w:rsidRDefault="00CF3585" w:rsidP="00CF3585">
            <w:pP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Total</w:t>
            </w:r>
          </w:p>
        </w:tc>
        <w:tc>
          <w:tcPr>
            <w:tcW w:w="1559" w:type="dxa"/>
            <w:shd w:val="clear" w:color="auto" w:fill="auto"/>
            <w:vAlign w:val="center"/>
          </w:tcPr>
          <w:p w14:paraId="3A394A82" w14:textId="77777777" w:rsidR="00CF3585" w:rsidRPr="00582936" w:rsidRDefault="00CF3585" w:rsidP="00CF3585">
            <w:pPr>
              <w:jc w:val="cente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4.307</w:t>
            </w:r>
          </w:p>
        </w:tc>
        <w:tc>
          <w:tcPr>
            <w:tcW w:w="2941" w:type="dxa"/>
            <w:shd w:val="clear" w:color="auto" w:fill="auto"/>
            <w:vAlign w:val="center"/>
          </w:tcPr>
          <w:p w14:paraId="42EC3844" w14:textId="77777777" w:rsidR="00CF3585" w:rsidRPr="00582936" w:rsidRDefault="00CF3585" w:rsidP="00CF3585">
            <w:pPr>
              <w:jc w:val="cente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3.951</w:t>
            </w:r>
          </w:p>
        </w:tc>
      </w:tr>
      <w:tr w:rsidR="00CF3585" w:rsidRPr="00582936" w14:paraId="13979A41" w14:textId="77777777" w:rsidTr="00E12A6A">
        <w:trPr>
          <w:trHeight w:val="184"/>
        </w:trPr>
        <w:tc>
          <w:tcPr>
            <w:tcW w:w="8494" w:type="dxa"/>
            <w:gridSpan w:val="3"/>
            <w:shd w:val="clear" w:color="auto" w:fill="auto"/>
            <w:vAlign w:val="center"/>
          </w:tcPr>
          <w:p w14:paraId="1508F47A" w14:textId="77777777" w:rsidR="00CF3585" w:rsidRPr="00582936" w:rsidRDefault="00CF3585" w:rsidP="00CF3585">
            <w:pP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Por tamaño de empresa</w:t>
            </w:r>
          </w:p>
        </w:tc>
      </w:tr>
      <w:tr w:rsidR="00CF3585" w:rsidRPr="00582936" w14:paraId="356A9717" w14:textId="77777777" w:rsidTr="00E12A6A">
        <w:trPr>
          <w:trHeight w:val="184"/>
        </w:trPr>
        <w:tc>
          <w:tcPr>
            <w:tcW w:w="3993" w:type="dxa"/>
            <w:shd w:val="clear" w:color="auto" w:fill="auto"/>
            <w:vAlign w:val="center"/>
          </w:tcPr>
          <w:p w14:paraId="3A05705A"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Grande empresa</w:t>
            </w:r>
          </w:p>
        </w:tc>
        <w:tc>
          <w:tcPr>
            <w:tcW w:w="1559" w:type="dxa"/>
            <w:shd w:val="clear" w:color="auto" w:fill="auto"/>
            <w:vAlign w:val="center"/>
          </w:tcPr>
          <w:p w14:paraId="7DB40422"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3456</w:t>
            </w:r>
          </w:p>
        </w:tc>
        <w:tc>
          <w:tcPr>
            <w:tcW w:w="2941" w:type="dxa"/>
            <w:shd w:val="clear" w:color="auto" w:fill="auto"/>
            <w:vAlign w:val="center"/>
          </w:tcPr>
          <w:p w14:paraId="7E0F8B94"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3143</w:t>
            </w:r>
          </w:p>
        </w:tc>
      </w:tr>
      <w:tr w:rsidR="00CF3585" w:rsidRPr="00582936" w14:paraId="76D9F59F" w14:textId="77777777" w:rsidTr="00E12A6A">
        <w:trPr>
          <w:trHeight w:val="301"/>
        </w:trPr>
        <w:tc>
          <w:tcPr>
            <w:tcW w:w="3993" w:type="dxa"/>
            <w:shd w:val="clear" w:color="auto" w:fill="auto"/>
            <w:vAlign w:val="center"/>
          </w:tcPr>
          <w:p w14:paraId="55331D9A"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Mediana empresa "B"</w:t>
            </w:r>
          </w:p>
        </w:tc>
        <w:tc>
          <w:tcPr>
            <w:tcW w:w="1559" w:type="dxa"/>
            <w:shd w:val="clear" w:color="auto" w:fill="auto"/>
            <w:vAlign w:val="center"/>
          </w:tcPr>
          <w:p w14:paraId="25038B64"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465</w:t>
            </w:r>
          </w:p>
        </w:tc>
        <w:tc>
          <w:tcPr>
            <w:tcW w:w="2941" w:type="dxa"/>
            <w:shd w:val="clear" w:color="auto" w:fill="auto"/>
            <w:vAlign w:val="center"/>
          </w:tcPr>
          <w:p w14:paraId="14074B21"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549</w:t>
            </w:r>
          </w:p>
        </w:tc>
      </w:tr>
      <w:tr w:rsidR="00CF3585" w:rsidRPr="00582936" w14:paraId="21AAC665" w14:textId="77777777" w:rsidTr="00E12A6A">
        <w:trPr>
          <w:trHeight w:val="246"/>
        </w:trPr>
        <w:tc>
          <w:tcPr>
            <w:tcW w:w="3993" w:type="dxa"/>
            <w:shd w:val="clear" w:color="auto" w:fill="auto"/>
            <w:vAlign w:val="center"/>
          </w:tcPr>
          <w:p w14:paraId="22B0BD4A" w14:textId="77777777" w:rsidR="00CF3585" w:rsidRPr="00582936" w:rsidRDefault="00CF3585" w:rsidP="00CF3585">
            <w:pP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Mediana empresa "A"</w:t>
            </w:r>
          </w:p>
        </w:tc>
        <w:tc>
          <w:tcPr>
            <w:tcW w:w="1559" w:type="dxa"/>
            <w:shd w:val="clear" w:color="auto" w:fill="auto"/>
            <w:vAlign w:val="center"/>
          </w:tcPr>
          <w:p w14:paraId="715A8257"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386</w:t>
            </w:r>
          </w:p>
        </w:tc>
        <w:tc>
          <w:tcPr>
            <w:tcW w:w="2941" w:type="dxa"/>
            <w:shd w:val="clear" w:color="auto" w:fill="auto"/>
            <w:vAlign w:val="center"/>
          </w:tcPr>
          <w:p w14:paraId="3847483B" w14:textId="77777777" w:rsidR="00CF3585" w:rsidRPr="00582936" w:rsidRDefault="00CF3585" w:rsidP="00CF3585">
            <w:pPr>
              <w:jc w:val="center"/>
              <w:rPr>
                <w:rFonts w:ascii="Century Gothic" w:eastAsia="Calibri" w:hAnsi="Century Gothic" w:cs="Times New Roman"/>
                <w:iCs/>
                <w:color w:val="6E6E7C"/>
                <w:sz w:val="16"/>
                <w:szCs w:val="16"/>
              </w:rPr>
            </w:pPr>
            <w:r w:rsidRPr="00582936">
              <w:rPr>
                <w:rFonts w:ascii="Century Gothic" w:eastAsia="Calibri" w:hAnsi="Century Gothic" w:cs="Times New Roman"/>
                <w:iCs/>
                <w:color w:val="6E6E7C"/>
                <w:sz w:val="16"/>
                <w:szCs w:val="16"/>
              </w:rPr>
              <w:t>259</w:t>
            </w:r>
          </w:p>
        </w:tc>
      </w:tr>
      <w:tr w:rsidR="00CF3585" w:rsidRPr="00582936" w14:paraId="2FA6D9DC" w14:textId="77777777" w:rsidTr="00E12A6A">
        <w:trPr>
          <w:trHeight w:val="184"/>
        </w:trPr>
        <w:tc>
          <w:tcPr>
            <w:tcW w:w="3993" w:type="dxa"/>
            <w:shd w:val="clear" w:color="auto" w:fill="auto"/>
            <w:vAlign w:val="center"/>
          </w:tcPr>
          <w:p w14:paraId="2F89C4B1" w14:textId="77777777" w:rsidR="00CF3585" w:rsidRPr="00582936" w:rsidRDefault="00CF3585" w:rsidP="00CF3585">
            <w:pP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Total</w:t>
            </w:r>
          </w:p>
        </w:tc>
        <w:tc>
          <w:tcPr>
            <w:tcW w:w="1559" w:type="dxa"/>
            <w:shd w:val="clear" w:color="auto" w:fill="auto"/>
            <w:vAlign w:val="center"/>
          </w:tcPr>
          <w:p w14:paraId="534B9663" w14:textId="77777777" w:rsidR="00CF3585" w:rsidRPr="00582936" w:rsidRDefault="00CF3585" w:rsidP="00CF3585">
            <w:pPr>
              <w:jc w:val="cente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4.307</w:t>
            </w:r>
          </w:p>
        </w:tc>
        <w:tc>
          <w:tcPr>
            <w:tcW w:w="2941" w:type="dxa"/>
            <w:shd w:val="clear" w:color="auto" w:fill="auto"/>
            <w:vAlign w:val="center"/>
          </w:tcPr>
          <w:p w14:paraId="15D536E0" w14:textId="77777777" w:rsidR="00CF3585" w:rsidRPr="00582936" w:rsidRDefault="00CF3585" w:rsidP="00CF3585">
            <w:pPr>
              <w:jc w:val="center"/>
              <w:rPr>
                <w:rFonts w:ascii="Century Gothic" w:eastAsia="Calibri" w:hAnsi="Century Gothic" w:cs="Times New Roman"/>
                <w:b/>
                <w:iCs/>
                <w:color w:val="6E6E7C"/>
                <w:sz w:val="16"/>
                <w:szCs w:val="16"/>
              </w:rPr>
            </w:pPr>
            <w:r w:rsidRPr="00582936">
              <w:rPr>
                <w:rFonts w:ascii="Century Gothic" w:eastAsia="Calibri" w:hAnsi="Century Gothic" w:cs="Times New Roman"/>
                <w:b/>
                <w:iCs/>
                <w:color w:val="6E6E7C"/>
                <w:sz w:val="16"/>
                <w:szCs w:val="16"/>
              </w:rPr>
              <w:t>3.951</w:t>
            </w:r>
          </w:p>
        </w:tc>
      </w:tr>
    </w:tbl>
    <w:p w14:paraId="2F00A663" w14:textId="77777777" w:rsidR="006A74FA" w:rsidRPr="00582936" w:rsidRDefault="006A74FA" w:rsidP="006A74FA">
      <w:pPr>
        <w:ind w:right="4"/>
        <w:jc w:val="both"/>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Fuente:</w:t>
      </w:r>
      <w:r w:rsidRPr="00582936">
        <w:rPr>
          <w:rFonts w:ascii="Century Gothic" w:eastAsia="Calibri" w:hAnsi="Century Gothic" w:cs="Calibri"/>
          <w:iCs/>
          <w:color w:val="6E6E7C"/>
          <w:sz w:val="16"/>
          <w:szCs w:val="16"/>
        </w:rPr>
        <w:t xml:space="preserve"> </w:t>
      </w:r>
      <w:r w:rsidRPr="00582936">
        <w:rPr>
          <w:rFonts w:ascii="Century Gothic" w:eastAsia="Calibri" w:hAnsi="Century Gothic" w:cs="Times New Roman"/>
          <w:bCs/>
          <w:iCs/>
          <w:color w:val="6E6E7C"/>
          <w:sz w:val="16"/>
          <w:szCs w:val="16"/>
        </w:rPr>
        <w:t>INEC, Encuesta Estructural Empresarial (ENESEM 2022).</w:t>
      </w:r>
    </w:p>
    <w:p w14:paraId="46FBF929" w14:textId="77777777" w:rsidR="006A74FA" w:rsidRDefault="006A74FA" w:rsidP="006A74FA">
      <w:pPr>
        <w:spacing w:line="276" w:lineRule="auto"/>
        <w:jc w:val="both"/>
        <w:rPr>
          <w:rFonts w:ascii="Century Gothic" w:eastAsia="Calibri" w:hAnsi="Century Gothic" w:cs="Calibri"/>
          <w:iCs/>
          <w:color w:val="6E6E7C"/>
          <w:sz w:val="16"/>
          <w:szCs w:val="16"/>
        </w:rPr>
      </w:pPr>
      <w:r w:rsidRPr="00582936">
        <w:rPr>
          <w:rFonts w:ascii="Century Gothic" w:eastAsia="Calibri" w:hAnsi="Century Gothic" w:cs="Calibri"/>
          <w:b/>
          <w:bCs/>
          <w:iCs/>
          <w:color w:val="6E6E7C"/>
          <w:sz w:val="16"/>
          <w:szCs w:val="16"/>
        </w:rPr>
        <w:t>Elaboración</w:t>
      </w:r>
      <w:r w:rsidRPr="00582936">
        <w:rPr>
          <w:rFonts w:ascii="Century Gothic" w:eastAsia="Calibri" w:hAnsi="Century Gothic" w:cs="Calibri"/>
          <w:iCs/>
          <w:color w:val="6E6E7C"/>
          <w:sz w:val="16"/>
          <w:szCs w:val="16"/>
        </w:rPr>
        <w:t>: Gestión de Estadísticas Estructurales (GESE).</w:t>
      </w:r>
    </w:p>
    <w:p w14:paraId="4B926187" w14:textId="77777777" w:rsidR="00E2031C" w:rsidRPr="00582936" w:rsidRDefault="00E2031C" w:rsidP="006A74FA">
      <w:pPr>
        <w:spacing w:line="276" w:lineRule="auto"/>
        <w:jc w:val="both"/>
        <w:rPr>
          <w:rFonts w:ascii="Century Gothic" w:eastAsia="Times New Roman" w:hAnsi="Century Gothic" w:cs="Arial"/>
          <w:iCs/>
          <w:color w:val="6E6E7C"/>
          <w:sz w:val="16"/>
          <w:szCs w:val="16"/>
          <w:lang w:eastAsia="es-EC"/>
        </w:rPr>
      </w:pPr>
    </w:p>
    <w:p w14:paraId="49B44465" w14:textId="14F19D9B" w:rsidR="006A74FA" w:rsidRPr="00582936" w:rsidRDefault="006A74FA" w:rsidP="006A74FA">
      <w:pPr>
        <w:spacing w:after="200"/>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La encuesta presenta una cobertura del 91,7%, es decir, 3.951 empresas del total de la muestra (4.307 empresas), con las que se generan los resultados de publicación. La diferencia corresponde a empresas que presentaron novedades no efectivas, por tanto, no cumplen con las características de investigación (sin características por ingresos y/o personal, rechazos, liquidadas, no ubicadas, inactivas, etc.)</w:t>
      </w:r>
    </w:p>
    <w:p w14:paraId="23B0B40E"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55" w:name="_Toc161322555"/>
      <w:bookmarkStart w:id="156" w:name="_Toc126657991"/>
      <w:bookmarkStart w:id="157" w:name="_Toc148617343"/>
      <w:proofErr w:type="spellStart"/>
      <w:r w:rsidRPr="00BD0CD2">
        <w:rPr>
          <w:rFonts w:eastAsiaTheme="minorHAnsi" w:cstheme="minorBidi"/>
          <w:bCs/>
          <w:color w:val="6E6E7C"/>
          <w:sz w:val="28"/>
          <w:szCs w:val="44"/>
        </w:rPr>
        <w:t>Postestratificación</w:t>
      </w:r>
      <w:bookmarkEnd w:id="155"/>
      <w:proofErr w:type="spellEnd"/>
      <w:r w:rsidRPr="00BD0CD2">
        <w:rPr>
          <w:rFonts w:eastAsiaTheme="minorHAnsi" w:cstheme="minorBidi"/>
          <w:bCs/>
          <w:color w:val="6E6E7C"/>
          <w:sz w:val="28"/>
          <w:szCs w:val="44"/>
        </w:rPr>
        <w:t xml:space="preserve"> </w:t>
      </w:r>
    </w:p>
    <w:p w14:paraId="4CF83D00"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Al seleccionarse la muestra a partir del REEM 2021; considerando que el periodo de la información levantada en la encuesta corresponde al año 2022, se identificó </w:t>
      </w:r>
      <w:r w:rsidRPr="00582936">
        <w:rPr>
          <w:rFonts w:ascii="Century Gothic" w:eastAsia="Calibri" w:hAnsi="Century Gothic" w:cs="Times New Roman"/>
          <w:iCs/>
          <w:color w:val="6E6E7C"/>
          <w:sz w:val="21"/>
          <w:szCs w:val="21"/>
          <w:lang w:eastAsia="es-EC"/>
        </w:rPr>
        <w:lastRenderedPageBreak/>
        <w:t xml:space="preserve">empresas que por el dinamismo económico cambiaron de tamaño y/o sector económico. En consecuencia, los dominios de estudio originales sufrieron cambios, por lo que para solventar esos inconvenientes se utiliza un método denominado </w:t>
      </w:r>
      <w:proofErr w:type="spellStart"/>
      <w:r w:rsidRPr="00582936">
        <w:rPr>
          <w:rFonts w:ascii="Century Gothic" w:eastAsia="Calibri" w:hAnsi="Century Gothic" w:cs="Times New Roman"/>
          <w:iCs/>
          <w:color w:val="6E6E7C"/>
          <w:sz w:val="21"/>
          <w:szCs w:val="21"/>
          <w:lang w:eastAsia="es-EC"/>
        </w:rPr>
        <w:t>postestratificación</w:t>
      </w:r>
      <w:proofErr w:type="spellEnd"/>
      <w:r w:rsidRPr="00582936">
        <w:rPr>
          <w:rFonts w:ascii="Century Gothic" w:eastAsia="Calibri" w:hAnsi="Century Gothic" w:cs="Times New Roman"/>
          <w:iCs/>
          <w:color w:val="6E6E7C"/>
          <w:sz w:val="21"/>
          <w:szCs w:val="21"/>
          <w:lang w:eastAsia="es-EC"/>
        </w:rPr>
        <w:t>.</w:t>
      </w:r>
    </w:p>
    <w:p w14:paraId="6A490084"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El método de </w:t>
      </w:r>
      <w:proofErr w:type="spellStart"/>
      <w:r w:rsidRPr="00582936">
        <w:rPr>
          <w:rFonts w:ascii="Century Gothic" w:eastAsia="Calibri" w:hAnsi="Century Gothic" w:cs="Times New Roman"/>
          <w:iCs/>
          <w:color w:val="6E6E7C"/>
          <w:sz w:val="21"/>
          <w:szCs w:val="21"/>
          <w:lang w:eastAsia="es-EC"/>
        </w:rPr>
        <w:t>postestratificación</w:t>
      </w:r>
      <w:proofErr w:type="spellEnd"/>
      <w:r w:rsidRPr="00582936">
        <w:rPr>
          <w:rFonts w:ascii="Century Gothic" w:eastAsia="Calibri" w:hAnsi="Century Gothic" w:cs="Times New Roman"/>
          <w:iCs/>
          <w:color w:val="6E6E7C"/>
          <w:sz w:val="21"/>
          <w:szCs w:val="21"/>
          <w:lang w:eastAsia="es-EC"/>
        </w:rPr>
        <w:t xml:space="preserve">, permite realizar un ajuste a los factores de expansión mediante la incorporación de información auxiliar. En este caso, la información auxiliar utilizada proviene del REEM 2022, en el cual el universo de empresas medianas y grandes es </w:t>
      </w:r>
      <w:r w:rsidRPr="00A02A19">
        <w:rPr>
          <w:rFonts w:ascii="Century Gothic" w:eastAsia="Calibri" w:hAnsi="Century Gothic" w:cs="Times New Roman"/>
          <w:iCs/>
          <w:color w:val="6E6E7C"/>
          <w:sz w:val="21"/>
          <w:szCs w:val="21"/>
          <w:lang w:eastAsia="es-EC"/>
        </w:rPr>
        <w:t xml:space="preserve">de </w:t>
      </w:r>
      <w:r w:rsidR="00CA717F" w:rsidRPr="00CA717F">
        <w:rPr>
          <w:rFonts w:ascii="Century Gothic" w:eastAsia="Calibri" w:hAnsi="Century Gothic" w:cs="Times New Roman"/>
          <w:iCs/>
          <w:color w:val="6E6E7C"/>
          <w:sz w:val="21"/>
          <w:szCs w:val="21"/>
          <w:lang w:eastAsia="es-EC"/>
        </w:rPr>
        <w:t>16.365</w:t>
      </w:r>
      <w:r w:rsidRPr="00A02A19">
        <w:rPr>
          <w:rFonts w:ascii="Century Gothic" w:eastAsia="Calibri" w:hAnsi="Century Gothic" w:cs="Times New Roman"/>
          <w:iCs/>
          <w:color w:val="6E6E7C"/>
          <w:sz w:val="21"/>
          <w:szCs w:val="21"/>
          <w:lang w:eastAsia="es-EC"/>
        </w:rPr>
        <w:t>; a</w:t>
      </w:r>
      <w:r w:rsidRPr="00582936">
        <w:rPr>
          <w:rFonts w:ascii="Century Gothic" w:eastAsia="Calibri" w:hAnsi="Century Gothic" w:cs="Times New Roman"/>
          <w:iCs/>
          <w:color w:val="6E6E7C"/>
          <w:sz w:val="21"/>
          <w:szCs w:val="21"/>
          <w:lang w:eastAsia="es-EC"/>
        </w:rPr>
        <w:t xml:space="preserve"> partir de esta información se realiza un seguimiento a las empresas de la población objetivo. Esta información se convierte en la base para realizar actualizaciones del universo de investigación y asignar el dominio de estudio al que pertenece cada una de las empresas investigadas. De esta manera, el </w:t>
      </w:r>
      <w:proofErr w:type="spellStart"/>
      <w:r w:rsidRPr="00582936">
        <w:rPr>
          <w:rFonts w:ascii="Century Gothic" w:eastAsia="Calibri" w:hAnsi="Century Gothic" w:cs="Times New Roman"/>
          <w:iCs/>
          <w:color w:val="6E6E7C"/>
          <w:sz w:val="21"/>
          <w:szCs w:val="21"/>
          <w:lang w:eastAsia="es-EC"/>
        </w:rPr>
        <w:t>postestrato</w:t>
      </w:r>
      <w:proofErr w:type="spellEnd"/>
      <w:r w:rsidRPr="00582936">
        <w:rPr>
          <w:rFonts w:ascii="Century Gothic" w:eastAsia="Calibri" w:hAnsi="Century Gothic" w:cs="Times New Roman"/>
          <w:iCs/>
          <w:color w:val="6E6E7C"/>
          <w:sz w:val="21"/>
          <w:szCs w:val="21"/>
          <w:lang w:eastAsia="es-EC"/>
        </w:rPr>
        <w:t xml:space="preserve"> está conformado por las empresas que tienen un mismo tamaño de empresa y sección económica de acuerdo con el REEM 2022, fragmentando los dominios originales de la muestra</w:t>
      </w:r>
      <w:sdt>
        <w:sdtPr>
          <w:rPr>
            <w:rFonts w:ascii="Century Gothic" w:eastAsia="Calibri" w:hAnsi="Century Gothic" w:cs="Times New Roman"/>
            <w:iCs/>
            <w:color w:val="6E6E7C"/>
            <w:sz w:val="21"/>
            <w:szCs w:val="21"/>
            <w:lang w:eastAsia="es-EC"/>
          </w:rPr>
          <w:id w:val="-1973277379"/>
          <w:citation/>
        </w:sdtPr>
        <w:sdtContent>
          <w:r w:rsidRPr="00582936">
            <w:rPr>
              <w:rFonts w:ascii="Century Gothic" w:eastAsia="Calibri" w:hAnsi="Century Gothic" w:cs="Times New Roman"/>
              <w:iCs/>
              <w:color w:val="6E6E7C"/>
              <w:sz w:val="21"/>
              <w:szCs w:val="21"/>
              <w:lang w:eastAsia="es-EC"/>
            </w:rPr>
            <w:fldChar w:fldCharType="begin"/>
          </w:r>
          <w:r w:rsidRPr="00582936">
            <w:rPr>
              <w:rFonts w:ascii="Century Gothic" w:eastAsia="Calibri" w:hAnsi="Century Gothic" w:cs="Times New Roman"/>
              <w:iCs/>
              <w:color w:val="6E6E7C"/>
              <w:sz w:val="21"/>
              <w:szCs w:val="21"/>
              <w:lang w:eastAsia="es-EC"/>
            </w:rPr>
            <w:instrText xml:space="preserve">CITATION INE22 \l 12298 </w:instrText>
          </w:r>
          <w:r w:rsidRPr="00582936">
            <w:rPr>
              <w:rFonts w:ascii="Century Gothic" w:eastAsia="Calibri" w:hAnsi="Century Gothic" w:cs="Times New Roman"/>
              <w:iCs/>
              <w:color w:val="6E6E7C"/>
              <w:sz w:val="21"/>
              <w:szCs w:val="21"/>
              <w:lang w:eastAsia="es-EC"/>
            </w:rPr>
            <w:fldChar w:fldCharType="separate"/>
          </w:r>
          <w:r w:rsidR="006E6B3C">
            <w:rPr>
              <w:rFonts w:ascii="Century Gothic" w:eastAsia="Calibri" w:hAnsi="Century Gothic" w:cs="Times New Roman"/>
              <w:iCs/>
              <w:noProof/>
              <w:color w:val="6E6E7C"/>
              <w:sz w:val="21"/>
              <w:szCs w:val="21"/>
              <w:lang w:eastAsia="es-EC"/>
            </w:rPr>
            <w:t xml:space="preserve"> </w:t>
          </w:r>
          <w:r w:rsidR="006E6B3C" w:rsidRPr="006E6B3C">
            <w:rPr>
              <w:rFonts w:ascii="Century Gothic" w:eastAsia="Calibri" w:hAnsi="Century Gothic" w:cs="Times New Roman"/>
              <w:noProof/>
              <w:color w:val="6E6E7C"/>
              <w:sz w:val="21"/>
              <w:szCs w:val="21"/>
              <w:lang w:eastAsia="es-EC"/>
            </w:rPr>
            <w:t>(INEC, 2022)</w:t>
          </w:r>
          <w:r w:rsidRPr="00582936">
            <w:rPr>
              <w:rFonts w:ascii="Century Gothic" w:eastAsia="Calibri" w:hAnsi="Century Gothic" w:cs="Times New Roman"/>
              <w:iCs/>
              <w:color w:val="6E6E7C"/>
              <w:sz w:val="21"/>
              <w:szCs w:val="21"/>
              <w:lang w:eastAsia="es-EC"/>
            </w:rPr>
            <w:fldChar w:fldCharType="end"/>
          </w:r>
        </w:sdtContent>
      </w:sdt>
      <w:r w:rsidRPr="00582936">
        <w:rPr>
          <w:rFonts w:ascii="Century Gothic" w:eastAsia="Calibri" w:hAnsi="Century Gothic" w:cs="Times New Roman"/>
          <w:iCs/>
          <w:color w:val="6E6E7C"/>
          <w:sz w:val="21"/>
          <w:szCs w:val="21"/>
          <w:lang w:eastAsia="es-EC"/>
        </w:rPr>
        <w:t xml:space="preserve">. </w:t>
      </w:r>
    </w:p>
    <w:p w14:paraId="0DA5A7CA"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58" w:name="_Toc161322556"/>
      <w:r w:rsidRPr="00BD0CD2">
        <w:rPr>
          <w:rFonts w:eastAsiaTheme="minorHAnsi" w:cstheme="minorBidi"/>
          <w:bCs/>
          <w:color w:val="6E6E7C"/>
          <w:sz w:val="28"/>
          <w:szCs w:val="44"/>
        </w:rPr>
        <w:t>Factores de expansión</w:t>
      </w:r>
      <w:bookmarkEnd w:id="156"/>
      <w:bookmarkEnd w:id="157"/>
      <w:bookmarkEnd w:id="158"/>
    </w:p>
    <w:p w14:paraId="2722B013"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El objetivo de una encuesta por muestreo es hacer inferencias acerca de la población a partir de la información contenida en la muestra. En este sentido, se utilizan factores de expansión para llevar la información de la muestra a niveles poblacionales. Se define como el inverso de la probabilidad de escoger una empresa en un determinado estrato, considerando el informe de cobertura que registra las novedades de la empresa.</w:t>
      </w:r>
    </w:p>
    <w:p w14:paraId="78C98B83" w14:textId="77777777" w:rsidR="006A74FA" w:rsidRPr="00582936" w:rsidRDefault="006A74FA" w:rsidP="006A74FA">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El factor de expansión para cada dominio de </w:t>
      </w:r>
      <w:r w:rsidR="00E2031C" w:rsidRPr="00582936">
        <w:rPr>
          <w:rFonts w:ascii="Century Gothic" w:eastAsia="Calibri" w:hAnsi="Century Gothic" w:cs="Times New Roman"/>
          <w:iCs/>
          <w:color w:val="6E6E7C"/>
          <w:sz w:val="21"/>
          <w:szCs w:val="21"/>
          <w:lang w:eastAsia="es-EC"/>
        </w:rPr>
        <w:t>estudio</w:t>
      </w:r>
      <w:r w:rsidRPr="00582936">
        <w:rPr>
          <w:rFonts w:ascii="Century Gothic" w:eastAsia="Calibri" w:hAnsi="Century Gothic" w:cs="Times New Roman"/>
          <w:iCs/>
          <w:color w:val="6E6E7C"/>
          <w:sz w:val="21"/>
          <w:szCs w:val="21"/>
          <w:lang w:eastAsia="es-EC"/>
        </w:rPr>
        <w:t xml:space="preserve"> se determina en base al número de empresas tanto del marco de muestreo como de la muestra, así:</w:t>
      </w:r>
    </w:p>
    <w:p w14:paraId="66FA0CC9" w14:textId="77777777" w:rsidR="006A74FA" w:rsidRPr="00E12A6A" w:rsidRDefault="00746E03" w:rsidP="006A74FA">
      <w:pPr>
        <w:spacing w:line="276" w:lineRule="auto"/>
        <w:ind w:left="567"/>
        <w:jc w:val="center"/>
        <w:rPr>
          <w:rFonts w:ascii="Century Gothic" w:eastAsia="Calibri" w:hAnsi="Century Gothic" w:cs="Times New Roman"/>
          <w:b/>
          <w:iCs/>
          <w:color w:val="6E6E7C"/>
          <w:sz w:val="20"/>
          <w:szCs w:val="20"/>
          <w:lang w:val="es-ES"/>
        </w:rPr>
      </w:pPr>
      <m:oMathPara>
        <m:oMath>
          <m:sSub>
            <m:sSubPr>
              <m:ctrlPr>
                <w:rPr>
                  <w:rFonts w:ascii="Cambria Math" w:eastAsia="Calibri" w:hAnsi="Cambria Math" w:cs="Times New Roman"/>
                  <w:b/>
                  <w:i/>
                  <w:iCs/>
                  <w:color w:val="6E6E7C"/>
                  <w:sz w:val="20"/>
                  <w:szCs w:val="20"/>
                  <w:lang w:val="es-ES"/>
                </w:rPr>
              </m:ctrlPr>
            </m:sSubPr>
            <m:e>
              <m:sSub>
                <m:sSubPr>
                  <m:ctrlPr>
                    <w:rPr>
                      <w:rFonts w:ascii="Cambria Math" w:eastAsia="Calibri" w:hAnsi="Cambria Math" w:cs="Times New Roman"/>
                      <w:b/>
                      <w:i/>
                      <w:iCs/>
                      <w:color w:val="6E6E7C"/>
                      <w:sz w:val="20"/>
                      <w:szCs w:val="20"/>
                      <w:lang w:val="es-ES"/>
                    </w:rPr>
                  </m:ctrlPr>
                </m:sSubPr>
                <m:e>
                  <m:r>
                    <m:rPr>
                      <m:sty m:val="bi"/>
                    </m:rPr>
                    <w:rPr>
                      <w:rFonts w:ascii="Cambria Math" w:eastAsia="Calibri" w:hAnsi="Cambria Math" w:cs="Times New Roman"/>
                      <w:color w:val="6E6E7C"/>
                      <w:sz w:val="20"/>
                      <w:szCs w:val="20"/>
                      <w:lang w:val="es-ES"/>
                    </w:rPr>
                    <m:t>a</m:t>
                  </m:r>
                </m:e>
                <m:sub>
                  <m:r>
                    <m:rPr>
                      <m:sty m:val="bi"/>
                    </m:rPr>
                    <w:rPr>
                      <w:rFonts w:ascii="Cambria Math" w:eastAsia="Calibri" w:hAnsi="Cambria Math" w:cs="Times New Roman"/>
                      <w:color w:val="6E6E7C"/>
                      <w:sz w:val="20"/>
                      <w:szCs w:val="20"/>
                      <w:lang w:val="es-ES"/>
                    </w:rPr>
                    <m:t>k</m:t>
                  </m:r>
                </m:sub>
              </m:sSub>
            </m:e>
            <m:sub>
              <m:r>
                <m:rPr>
                  <m:sty m:val="bi"/>
                </m:rPr>
                <w:rPr>
                  <w:rFonts w:ascii="Cambria Math" w:eastAsia="Calibri" w:hAnsi="Cambria Math" w:cs="Times New Roman"/>
                  <w:color w:val="6E6E7C"/>
                  <w:sz w:val="20"/>
                  <w:szCs w:val="20"/>
                  <w:lang w:val="es-ES"/>
                </w:rPr>
                <m:t>i</m:t>
              </m:r>
            </m:sub>
          </m:sSub>
          <m:r>
            <m:rPr>
              <m:sty m:val="bi"/>
            </m:rPr>
            <w:rPr>
              <w:rFonts w:ascii="Cambria Math" w:eastAsia="Calibri" w:hAnsi="Cambria Math" w:cs="Times New Roman"/>
              <w:color w:val="6E6E7C"/>
              <w:sz w:val="20"/>
              <w:szCs w:val="20"/>
              <w:lang w:val="es-ES"/>
            </w:rPr>
            <m:t>=</m:t>
          </m:r>
          <m:f>
            <m:fPr>
              <m:ctrlPr>
                <w:rPr>
                  <w:rFonts w:ascii="Cambria Math" w:eastAsia="Calibri" w:hAnsi="Cambria Math" w:cs="Times New Roman"/>
                  <w:b/>
                  <w:i/>
                  <w:iCs/>
                  <w:color w:val="6E6E7C"/>
                  <w:sz w:val="20"/>
                  <w:szCs w:val="20"/>
                  <w:lang w:val="es-ES"/>
                </w:rPr>
              </m:ctrlPr>
            </m:fPr>
            <m:num>
              <m:sSub>
                <m:sSubPr>
                  <m:ctrlPr>
                    <w:rPr>
                      <w:rFonts w:ascii="Cambria Math" w:eastAsia="Calibri" w:hAnsi="Cambria Math" w:cs="Times New Roman"/>
                      <w:b/>
                      <w:i/>
                      <w:iCs/>
                      <w:color w:val="6E6E7C"/>
                      <w:sz w:val="20"/>
                      <w:szCs w:val="20"/>
                      <w:lang w:val="es-ES"/>
                    </w:rPr>
                  </m:ctrlPr>
                </m:sSubPr>
                <m:e>
                  <m:r>
                    <m:rPr>
                      <m:sty m:val="bi"/>
                    </m:rPr>
                    <w:rPr>
                      <w:rFonts w:ascii="Cambria Math" w:eastAsia="Calibri" w:hAnsi="Cambria Math" w:cs="Times New Roman"/>
                      <w:color w:val="6E6E7C"/>
                      <w:sz w:val="20"/>
                      <w:szCs w:val="20"/>
                      <w:lang w:val="es-ES"/>
                    </w:rPr>
                    <m:t>N</m:t>
                  </m:r>
                </m:e>
                <m:sub>
                  <m:r>
                    <m:rPr>
                      <m:sty m:val="bi"/>
                    </m:rPr>
                    <w:rPr>
                      <w:rFonts w:ascii="Cambria Math" w:eastAsia="Calibri" w:hAnsi="Cambria Math" w:cs="Times New Roman"/>
                      <w:color w:val="6E6E7C"/>
                      <w:sz w:val="20"/>
                      <w:szCs w:val="20"/>
                      <w:lang w:val="es-ES"/>
                    </w:rPr>
                    <m:t>k</m:t>
                  </m:r>
                </m:sub>
              </m:sSub>
              <m:r>
                <m:rPr>
                  <m:sty m:val="bi"/>
                </m:rPr>
                <w:rPr>
                  <w:rFonts w:ascii="Cambria Math" w:eastAsia="Calibri" w:hAnsi="Cambria Math" w:cs="Times New Roman"/>
                  <w:color w:val="6E6E7C"/>
                  <w:sz w:val="20"/>
                  <w:szCs w:val="20"/>
                  <w:lang w:val="es-ES"/>
                </w:rPr>
                <m:t>-</m:t>
              </m:r>
              <m:sSub>
                <m:sSubPr>
                  <m:ctrlPr>
                    <w:rPr>
                      <w:rFonts w:ascii="Cambria Math" w:eastAsia="Calibri" w:hAnsi="Cambria Math" w:cs="Times New Roman"/>
                      <w:b/>
                      <w:i/>
                      <w:iCs/>
                      <w:color w:val="6E6E7C"/>
                      <w:sz w:val="20"/>
                      <w:szCs w:val="20"/>
                      <w:lang w:val="es-ES"/>
                    </w:rPr>
                  </m:ctrlPr>
                </m:sSubPr>
                <m:e>
                  <m:r>
                    <m:rPr>
                      <m:sty m:val="bi"/>
                    </m:rPr>
                    <w:rPr>
                      <w:rFonts w:ascii="Cambria Math" w:eastAsia="Calibri" w:hAnsi="Cambria Math" w:cs="Times New Roman"/>
                      <w:color w:val="6E6E7C"/>
                      <w:sz w:val="20"/>
                      <w:szCs w:val="20"/>
                      <w:lang w:val="es-ES"/>
                    </w:rPr>
                    <m:t>n</m:t>
                  </m:r>
                </m:e>
                <m:sub>
                  <m:r>
                    <m:rPr>
                      <m:sty m:val="bi"/>
                    </m:rPr>
                    <w:rPr>
                      <w:rFonts w:ascii="Cambria Math" w:eastAsia="Calibri" w:hAnsi="Cambria Math" w:cs="Times New Roman"/>
                      <w:color w:val="6E6E7C"/>
                      <w:sz w:val="20"/>
                      <w:szCs w:val="20"/>
                      <w:lang w:val="es-ES"/>
                    </w:rPr>
                    <m:t>fk</m:t>
                  </m:r>
                </m:sub>
              </m:sSub>
            </m:num>
            <m:den>
              <m:sSub>
                <m:sSubPr>
                  <m:ctrlPr>
                    <w:rPr>
                      <w:rFonts w:ascii="Cambria Math" w:eastAsia="Calibri" w:hAnsi="Cambria Math" w:cs="Times New Roman"/>
                      <w:b/>
                      <w:i/>
                      <w:iCs/>
                      <w:color w:val="6E6E7C"/>
                      <w:sz w:val="20"/>
                      <w:szCs w:val="20"/>
                      <w:lang w:val="es-ES"/>
                    </w:rPr>
                  </m:ctrlPr>
                </m:sSubPr>
                <m:e>
                  <m:r>
                    <m:rPr>
                      <m:sty m:val="bi"/>
                    </m:rPr>
                    <w:rPr>
                      <w:rFonts w:ascii="Cambria Math" w:eastAsia="Calibri" w:hAnsi="Cambria Math" w:cs="Times New Roman"/>
                      <w:color w:val="6E6E7C"/>
                      <w:sz w:val="20"/>
                      <w:szCs w:val="20"/>
                      <w:lang w:val="es-ES"/>
                    </w:rPr>
                    <m:t>n</m:t>
                  </m:r>
                </m:e>
                <m:sub>
                  <m:r>
                    <m:rPr>
                      <m:sty m:val="bi"/>
                    </m:rPr>
                    <w:rPr>
                      <w:rFonts w:ascii="Cambria Math" w:eastAsia="Calibri" w:hAnsi="Cambria Math" w:cs="Times New Roman"/>
                      <w:color w:val="6E6E7C"/>
                      <w:sz w:val="20"/>
                      <w:szCs w:val="20"/>
                      <w:lang w:val="es-ES"/>
                    </w:rPr>
                    <m:t>k</m:t>
                  </m:r>
                </m:sub>
              </m:sSub>
              <m:r>
                <m:rPr>
                  <m:sty m:val="bi"/>
                </m:rPr>
                <w:rPr>
                  <w:rFonts w:ascii="Cambria Math" w:eastAsia="Calibri" w:hAnsi="Cambria Math" w:cs="Times New Roman"/>
                  <w:color w:val="6E6E7C"/>
                  <w:sz w:val="20"/>
                  <w:szCs w:val="20"/>
                  <w:lang w:val="es-ES"/>
                </w:rPr>
                <m:t>-</m:t>
              </m:r>
              <m:sSub>
                <m:sSubPr>
                  <m:ctrlPr>
                    <w:rPr>
                      <w:rFonts w:ascii="Cambria Math" w:eastAsia="Calibri" w:hAnsi="Cambria Math" w:cs="Times New Roman"/>
                      <w:b/>
                      <w:i/>
                      <w:iCs/>
                      <w:color w:val="6E6E7C"/>
                      <w:sz w:val="20"/>
                      <w:szCs w:val="20"/>
                      <w:lang w:val="es-ES"/>
                    </w:rPr>
                  </m:ctrlPr>
                </m:sSubPr>
                <m:e>
                  <m:r>
                    <m:rPr>
                      <m:sty m:val="bi"/>
                    </m:rPr>
                    <w:rPr>
                      <w:rFonts w:ascii="Cambria Math" w:eastAsia="Calibri" w:hAnsi="Cambria Math" w:cs="Times New Roman"/>
                      <w:color w:val="6E6E7C"/>
                      <w:sz w:val="20"/>
                      <w:szCs w:val="20"/>
                      <w:lang w:val="es-ES"/>
                    </w:rPr>
                    <m:t>n</m:t>
                  </m:r>
                </m:e>
                <m:sub>
                  <m:r>
                    <m:rPr>
                      <m:sty m:val="bi"/>
                    </m:rPr>
                    <w:rPr>
                      <w:rFonts w:ascii="Cambria Math" w:eastAsia="Calibri" w:hAnsi="Cambria Math" w:cs="Times New Roman"/>
                      <w:color w:val="6E6E7C"/>
                      <w:sz w:val="20"/>
                      <w:szCs w:val="20"/>
                      <w:lang w:val="es-ES"/>
                    </w:rPr>
                    <m:t>fk</m:t>
                  </m:r>
                </m:sub>
              </m:sSub>
            </m:den>
          </m:f>
        </m:oMath>
      </m:oMathPara>
    </w:p>
    <w:p w14:paraId="21C95FF3" w14:textId="77777777" w:rsidR="006A74FA" w:rsidRPr="00E12A6A" w:rsidRDefault="006A74FA" w:rsidP="006A74FA">
      <w:pPr>
        <w:spacing w:after="200" w:line="276" w:lineRule="auto"/>
        <w:ind w:left="567"/>
        <w:jc w:val="both"/>
        <w:rPr>
          <w:rFonts w:ascii="Century Gothic" w:eastAsia="Calibri" w:hAnsi="Century Gothic" w:cs="Times New Roman"/>
          <w:iCs/>
          <w:color w:val="6E6E7C"/>
          <w:sz w:val="21"/>
          <w:szCs w:val="21"/>
          <w:lang w:val="es-ES"/>
        </w:rPr>
      </w:pPr>
      <w:r w:rsidRPr="00E12A6A">
        <w:rPr>
          <w:rFonts w:ascii="Century Gothic" w:eastAsia="Calibri" w:hAnsi="Century Gothic" w:cs="Times New Roman"/>
          <w:iCs/>
          <w:color w:val="6E6E7C"/>
          <w:sz w:val="21"/>
          <w:szCs w:val="21"/>
          <w:lang w:val="es-ES"/>
        </w:rPr>
        <w:t>Dónde:</w:t>
      </w:r>
    </w:p>
    <w:p w14:paraId="4572BA74" w14:textId="7993C547" w:rsidR="006A74FA" w:rsidRPr="00E12A6A" w:rsidRDefault="006A74FA" w:rsidP="006A74FA">
      <w:pPr>
        <w:spacing w:after="200" w:line="276" w:lineRule="auto"/>
        <w:ind w:left="567"/>
        <w:jc w:val="both"/>
        <w:rPr>
          <w:rFonts w:ascii="Century Gothic" w:eastAsia="Calibri" w:hAnsi="Century Gothic" w:cs="Times New Roman"/>
          <w:b/>
          <w:i/>
          <w:iCs/>
          <w:color w:val="6E6E7C"/>
          <w:sz w:val="20"/>
          <w:szCs w:val="20"/>
          <w:lang w:val="es-ES"/>
        </w:rPr>
      </w:pPr>
      <w:r w:rsidRPr="00E12A6A">
        <w:rPr>
          <w:rFonts w:ascii="Century Gothic" w:eastAsia="Times New Roman" w:hAnsi="Century Gothic" w:cs="Times New Roman"/>
          <w:b/>
          <w:i/>
          <w:iCs/>
          <w:color w:val="6E6E7C"/>
          <w:sz w:val="20"/>
          <w:szCs w:val="20"/>
          <w:lang w:val="es-ES"/>
        </w:rPr>
        <w:t xml:space="preserve">                   </w:t>
      </w:r>
      <m:oMath>
        <m:sSub>
          <m:sSubPr>
            <m:ctrlPr>
              <w:rPr>
                <w:rFonts w:ascii="Cambria Math" w:eastAsia="Times New Roman" w:hAnsi="Cambria Math" w:cs="Times New Roman"/>
                <w:b/>
                <w:i/>
                <w:iCs/>
                <w:color w:val="6E6E7C"/>
                <w:sz w:val="20"/>
                <w:szCs w:val="20"/>
                <w:lang w:val="es-ES"/>
              </w:rPr>
            </m:ctrlPr>
          </m:sSubPr>
          <m:e>
            <m:r>
              <m:rPr>
                <m:sty m:val="bi"/>
              </m:rPr>
              <w:rPr>
                <w:rFonts w:ascii="Cambria Math" w:eastAsia="Times New Roman" w:hAnsi="Cambria Math" w:cs="Times New Roman"/>
                <w:color w:val="6E6E7C"/>
                <w:sz w:val="20"/>
                <w:szCs w:val="20"/>
                <w:lang w:val="es-ES"/>
              </w:rPr>
              <m:t>a</m:t>
            </m:r>
          </m:e>
          <m:sub>
            <m:r>
              <m:rPr>
                <m:sty m:val="bi"/>
              </m:rPr>
              <w:rPr>
                <w:rFonts w:ascii="Cambria Math" w:eastAsia="Times New Roman" w:hAnsi="Cambria Math" w:cs="Times New Roman"/>
                <w:color w:val="6E6E7C"/>
                <w:sz w:val="20"/>
                <w:szCs w:val="20"/>
                <w:lang w:val="es-ES"/>
              </w:rPr>
              <m:t>ki</m:t>
            </m:r>
          </m:sub>
        </m:sSub>
      </m:oMath>
      <w:r w:rsidRPr="00E12A6A">
        <w:rPr>
          <w:rFonts w:ascii="Century Gothic" w:eastAsia="Times New Roman" w:hAnsi="Century Gothic" w:cs="Times New Roman"/>
          <w:b/>
          <w:i/>
          <w:iCs/>
          <w:color w:val="6E6E7C"/>
          <w:sz w:val="20"/>
          <w:szCs w:val="20"/>
          <w:lang w:val="es-ES"/>
        </w:rPr>
        <w:t xml:space="preserve">= </w:t>
      </w:r>
      <m:oMath>
        <m:r>
          <m:rPr>
            <m:sty m:val="bi"/>
          </m:rPr>
          <w:rPr>
            <w:rFonts w:ascii="Cambria Math" w:eastAsia="Calibri" w:hAnsi="Cambria Math" w:cs="Times New Roman"/>
            <w:color w:val="6E6E7C"/>
            <w:sz w:val="20"/>
            <w:szCs w:val="20"/>
            <w:lang w:val="es-ES"/>
          </w:rPr>
          <m:t>Factor de expansión de la empresa i perteneciente al dominio k.</m:t>
        </m:r>
      </m:oMath>
    </w:p>
    <w:p w14:paraId="5D67D16D" w14:textId="6EF1FBF0" w:rsidR="006A74FA" w:rsidRPr="00E12A6A" w:rsidRDefault="00746E03" w:rsidP="006A74FA">
      <w:pPr>
        <w:spacing w:after="200" w:line="276" w:lineRule="auto"/>
        <w:ind w:left="567"/>
        <w:jc w:val="both"/>
        <w:rPr>
          <w:rFonts w:ascii="Century Gothic" w:eastAsia="Times New Roman" w:hAnsi="Century Gothic" w:cs="Times New Roman"/>
          <w:b/>
          <w:i/>
          <w:iCs/>
          <w:color w:val="6E6E7C"/>
          <w:sz w:val="20"/>
          <w:szCs w:val="20"/>
          <w:lang w:val="es-ES"/>
        </w:rPr>
      </w:pPr>
      <m:oMath>
        <m:sSub>
          <m:sSubPr>
            <m:ctrlPr>
              <w:rPr>
                <w:rFonts w:ascii="Cambria Math" w:eastAsia="Times New Roman" w:hAnsi="Cambria Math" w:cs="Times New Roman"/>
                <w:b/>
                <w:i/>
                <w:iCs/>
                <w:color w:val="6E6E7C"/>
                <w:sz w:val="20"/>
                <w:szCs w:val="20"/>
                <w:lang w:val="es-ES"/>
              </w:rPr>
            </m:ctrlPr>
          </m:sSubPr>
          <m:e>
            <m:r>
              <m:rPr>
                <m:sty m:val="bi"/>
              </m:rPr>
              <w:rPr>
                <w:rFonts w:ascii="Cambria Math" w:eastAsia="Times New Roman" w:hAnsi="Cambria Math" w:cs="Times New Roman"/>
                <w:color w:val="6E6E7C"/>
                <w:sz w:val="20"/>
                <w:szCs w:val="20"/>
                <w:lang w:val="es-ES"/>
              </w:rPr>
              <m:t xml:space="preserve">                       N</m:t>
            </m:r>
          </m:e>
          <m:sub>
            <m:r>
              <m:rPr>
                <m:sty m:val="bi"/>
              </m:rPr>
              <w:rPr>
                <w:rFonts w:ascii="Cambria Math" w:eastAsia="Times New Roman" w:hAnsi="Cambria Math" w:cs="Times New Roman"/>
                <w:color w:val="6E6E7C"/>
                <w:sz w:val="20"/>
                <w:szCs w:val="20"/>
                <w:lang w:val="es-ES"/>
              </w:rPr>
              <m:t>k</m:t>
            </m:r>
          </m:sub>
        </m:sSub>
      </m:oMath>
      <w:r w:rsidR="006A74FA" w:rsidRPr="00E12A6A">
        <w:rPr>
          <w:rFonts w:ascii="Century Gothic" w:eastAsia="Times New Roman" w:hAnsi="Century Gothic" w:cs="Times New Roman"/>
          <w:b/>
          <w:i/>
          <w:iCs/>
          <w:color w:val="6E6E7C"/>
          <w:sz w:val="20"/>
          <w:szCs w:val="20"/>
          <w:lang w:val="es-ES"/>
        </w:rPr>
        <w:t xml:space="preserve">= </w:t>
      </w:r>
      <m:oMath>
        <m:r>
          <m:rPr>
            <m:sty m:val="bi"/>
          </m:rPr>
          <w:rPr>
            <w:rFonts w:ascii="Cambria Math" w:eastAsia="Calibri" w:hAnsi="Cambria Math" w:cs="Times New Roman"/>
            <w:color w:val="6E6E7C"/>
            <w:sz w:val="20"/>
            <w:szCs w:val="20"/>
            <w:lang w:val="es-ES"/>
          </w:rPr>
          <m:t>Tamaño de la población del dominio k.</m:t>
        </m:r>
      </m:oMath>
    </w:p>
    <w:p w14:paraId="72DA21E7" w14:textId="2A092CFD" w:rsidR="006A74FA" w:rsidRPr="00E12A6A" w:rsidRDefault="00E12A6A" w:rsidP="006A74FA">
      <w:pPr>
        <w:spacing w:after="200" w:line="276" w:lineRule="auto"/>
        <w:ind w:left="567"/>
        <w:jc w:val="both"/>
        <w:rPr>
          <w:rFonts w:ascii="Century Gothic" w:eastAsia="Times New Roman" w:hAnsi="Century Gothic" w:cs="Times New Roman"/>
          <w:b/>
          <w:i/>
          <w:iCs/>
          <w:color w:val="6E6E7C"/>
          <w:sz w:val="20"/>
          <w:szCs w:val="20"/>
          <w:lang w:val="es-ES"/>
        </w:rPr>
      </w:pPr>
      <m:oMath>
        <m:r>
          <m:rPr>
            <m:sty m:val="bi"/>
          </m:rPr>
          <w:rPr>
            <w:rFonts w:ascii="Cambria Math" w:eastAsia="Times New Roman" w:hAnsi="Cambria Math" w:cs="Times New Roman"/>
            <w:color w:val="6E6E7C"/>
            <w:sz w:val="20"/>
            <w:szCs w:val="20"/>
            <w:lang w:val="es-ES"/>
          </w:rPr>
          <m:t xml:space="preserve">                       </m:t>
        </m:r>
        <m:sSub>
          <m:sSubPr>
            <m:ctrlPr>
              <w:rPr>
                <w:rFonts w:ascii="Cambria Math" w:eastAsia="Times New Roman" w:hAnsi="Cambria Math" w:cs="Times New Roman"/>
                <w:b/>
                <w:i/>
                <w:iCs/>
                <w:color w:val="6E6E7C"/>
                <w:sz w:val="20"/>
                <w:szCs w:val="20"/>
                <w:lang w:val="es-ES"/>
              </w:rPr>
            </m:ctrlPr>
          </m:sSubPr>
          <m:e>
            <m:r>
              <m:rPr>
                <m:sty m:val="bi"/>
              </m:rPr>
              <w:rPr>
                <w:rFonts w:ascii="Cambria Math" w:eastAsia="Times New Roman" w:hAnsi="Cambria Math" w:cs="Times New Roman"/>
                <w:color w:val="6E6E7C"/>
                <w:sz w:val="20"/>
                <w:szCs w:val="20"/>
                <w:lang w:val="es-ES"/>
              </w:rPr>
              <m:t>n</m:t>
            </m:r>
          </m:e>
          <m:sub>
            <m:r>
              <m:rPr>
                <m:sty m:val="bi"/>
              </m:rPr>
              <w:rPr>
                <w:rFonts w:ascii="Cambria Math" w:eastAsia="Times New Roman" w:hAnsi="Cambria Math" w:cs="Times New Roman"/>
                <w:color w:val="6E6E7C"/>
                <w:sz w:val="20"/>
                <w:szCs w:val="20"/>
                <w:lang w:val="es-ES"/>
              </w:rPr>
              <m:t>k</m:t>
            </m:r>
          </m:sub>
        </m:sSub>
      </m:oMath>
      <w:r w:rsidR="006A74FA" w:rsidRPr="00E12A6A">
        <w:rPr>
          <w:rFonts w:ascii="Century Gothic" w:eastAsia="Times New Roman" w:hAnsi="Century Gothic" w:cs="Times New Roman"/>
          <w:b/>
          <w:i/>
          <w:iCs/>
          <w:color w:val="6E6E7C"/>
          <w:sz w:val="20"/>
          <w:szCs w:val="20"/>
          <w:lang w:val="es-ES"/>
        </w:rPr>
        <w:t xml:space="preserve">= </w:t>
      </w:r>
      <m:oMath>
        <m:r>
          <m:rPr>
            <m:sty m:val="bi"/>
          </m:rPr>
          <w:rPr>
            <w:rFonts w:ascii="Cambria Math" w:eastAsia="Calibri" w:hAnsi="Cambria Math" w:cs="Times New Roman"/>
            <w:color w:val="6E6E7C"/>
            <w:sz w:val="20"/>
            <w:szCs w:val="20"/>
            <w:lang w:val="es-ES"/>
          </w:rPr>
          <m:t>Tamaño de la muestra del dominio k.</m:t>
        </m:r>
      </m:oMath>
    </w:p>
    <w:p w14:paraId="35539CEB" w14:textId="048FA5BE" w:rsidR="006A74FA" w:rsidRPr="00E12A6A" w:rsidRDefault="00746E03" w:rsidP="006A74FA">
      <w:pPr>
        <w:spacing w:after="200" w:line="276" w:lineRule="auto"/>
        <w:ind w:left="708" w:hanging="141"/>
        <w:jc w:val="both"/>
        <w:rPr>
          <w:rFonts w:ascii="Century Gothic" w:eastAsia="Times New Roman" w:hAnsi="Century Gothic" w:cs="Times New Roman"/>
          <w:b/>
          <w:i/>
          <w:iCs/>
          <w:color w:val="6E6E7C"/>
          <w:sz w:val="20"/>
          <w:szCs w:val="20"/>
          <w:lang w:val="es-ES"/>
        </w:rPr>
      </w:pPr>
      <m:oMath>
        <m:sSub>
          <m:sSubPr>
            <m:ctrlPr>
              <w:rPr>
                <w:rFonts w:ascii="Cambria Math" w:eastAsia="Times New Roman" w:hAnsi="Cambria Math" w:cs="Times New Roman"/>
                <w:b/>
                <w:i/>
                <w:iCs/>
                <w:color w:val="6E6E7C"/>
                <w:sz w:val="20"/>
                <w:szCs w:val="20"/>
                <w:lang w:val="es-ES"/>
              </w:rPr>
            </m:ctrlPr>
          </m:sSubPr>
          <m:e>
            <m:r>
              <m:rPr>
                <m:sty m:val="bi"/>
              </m:rPr>
              <w:rPr>
                <w:rFonts w:ascii="Cambria Math" w:eastAsia="Times New Roman" w:hAnsi="Cambria Math" w:cs="Times New Roman"/>
                <w:color w:val="6E6E7C"/>
                <w:sz w:val="20"/>
                <w:szCs w:val="20"/>
                <w:lang w:val="es-ES"/>
              </w:rPr>
              <m:t xml:space="preserve">                       n</m:t>
            </m:r>
          </m:e>
          <m:sub>
            <m:r>
              <m:rPr>
                <m:sty m:val="bi"/>
              </m:rPr>
              <w:rPr>
                <w:rFonts w:ascii="Cambria Math" w:eastAsia="Times New Roman" w:hAnsi="Cambria Math" w:cs="Times New Roman"/>
                <w:color w:val="6E6E7C"/>
                <w:sz w:val="20"/>
                <w:szCs w:val="20"/>
                <w:lang w:val="es-ES"/>
              </w:rPr>
              <m:t>ki</m:t>
            </m:r>
          </m:sub>
        </m:sSub>
      </m:oMath>
      <w:r w:rsidR="006A74FA" w:rsidRPr="00E12A6A">
        <w:rPr>
          <w:rFonts w:ascii="Century Gothic" w:eastAsia="Times New Roman" w:hAnsi="Century Gothic" w:cs="Times New Roman"/>
          <w:b/>
          <w:i/>
          <w:iCs/>
          <w:color w:val="6E6E7C"/>
          <w:sz w:val="20"/>
          <w:szCs w:val="20"/>
          <w:lang w:val="es-ES"/>
        </w:rPr>
        <w:t>=</w:t>
      </w:r>
      <m:oMath>
        <m:r>
          <m:rPr>
            <m:sty m:val="bi"/>
          </m:rPr>
          <w:rPr>
            <w:rFonts w:ascii="Cambria Math" w:eastAsia="Calibri" w:hAnsi="Cambria Math" w:cs="Times New Roman"/>
            <w:color w:val="6E6E7C"/>
            <w:sz w:val="20"/>
            <w:szCs w:val="20"/>
            <w:lang w:val="es-ES"/>
          </w:rPr>
          <m:t>Tamaño de empresas de inclusión forzosa en el dominio k.</m:t>
        </m:r>
      </m:oMath>
    </w:p>
    <w:p w14:paraId="63B7C2E7" w14:textId="77777777" w:rsidR="006A74FA" w:rsidRPr="00BD0CD2" w:rsidRDefault="006A74FA" w:rsidP="006A74FA">
      <w:pPr>
        <w:pStyle w:val="Ttulo2"/>
        <w:numPr>
          <w:ilvl w:val="1"/>
          <w:numId w:val="2"/>
        </w:numPr>
        <w:spacing w:before="0" w:line="276" w:lineRule="auto"/>
        <w:jc w:val="both"/>
        <w:rPr>
          <w:rFonts w:eastAsiaTheme="minorHAnsi" w:cstheme="minorBidi"/>
          <w:bCs/>
          <w:color w:val="6E6E7C"/>
          <w:sz w:val="28"/>
          <w:szCs w:val="44"/>
        </w:rPr>
      </w:pPr>
      <w:bookmarkStart w:id="159" w:name="_Toc126657992"/>
      <w:bookmarkStart w:id="160" w:name="_Toc148617344"/>
      <w:bookmarkStart w:id="161" w:name="_Toc161322557"/>
      <w:r w:rsidRPr="00BD0CD2">
        <w:rPr>
          <w:rFonts w:eastAsiaTheme="minorHAnsi" w:cstheme="minorBidi"/>
          <w:bCs/>
          <w:color w:val="6E6E7C"/>
          <w:sz w:val="28"/>
          <w:szCs w:val="44"/>
        </w:rPr>
        <w:t>Evaluación de diseño muestral</w:t>
      </w:r>
      <w:bookmarkEnd w:id="159"/>
      <w:bookmarkEnd w:id="160"/>
      <w:bookmarkEnd w:id="161"/>
    </w:p>
    <w:p w14:paraId="1BBD0876" w14:textId="77777777" w:rsidR="006A74FA" w:rsidRDefault="006A74FA" w:rsidP="006A74FA">
      <w:pPr>
        <w:autoSpaceDE w:val="0"/>
        <w:autoSpaceDN w:val="0"/>
        <w:adjustRightInd w:val="0"/>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A partir del marco de muestreo constituido por 14.100 empresas, se ha diseñado una muestra de tamaño igual a 4.307 empresas, con el 10 % de error relativo y un nivel de confianza del 90 % para la variable de diseño: Ventas totales 2021, se consideró una tasa de no respuesta particular para cada dominio de estudio, obteniéndose una fracción de muestreo global de 0,3506.</w:t>
      </w:r>
    </w:p>
    <w:p w14:paraId="1437F2D1" w14:textId="77777777" w:rsidR="003A4122" w:rsidRPr="00582936" w:rsidRDefault="003A4122" w:rsidP="006A74FA">
      <w:pPr>
        <w:autoSpaceDE w:val="0"/>
        <w:autoSpaceDN w:val="0"/>
        <w:adjustRightInd w:val="0"/>
        <w:jc w:val="both"/>
        <w:rPr>
          <w:rFonts w:ascii="Century Gothic" w:eastAsia="Calibri" w:hAnsi="Century Gothic" w:cs="Times New Roman"/>
          <w:iCs/>
          <w:color w:val="6E6E7C"/>
          <w:sz w:val="21"/>
          <w:szCs w:val="21"/>
          <w:lang w:eastAsia="es-EC"/>
        </w:rPr>
      </w:pPr>
    </w:p>
    <w:p w14:paraId="3DFA69F7" w14:textId="77777777" w:rsidR="006A74FA" w:rsidRPr="00582936" w:rsidRDefault="006A74FA" w:rsidP="006A74FA">
      <w:pPr>
        <w:pStyle w:val="Ttulo3"/>
        <w:numPr>
          <w:ilvl w:val="0"/>
          <w:numId w:val="2"/>
        </w:numPr>
        <w:jc w:val="both"/>
        <w:rPr>
          <w:color w:val="6E6E7C"/>
          <w:sz w:val="40"/>
        </w:rPr>
      </w:pPr>
      <w:bookmarkStart w:id="162" w:name="_Toc161297032"/>
      <w:bookmarkStart w:id="163" w:name="_Toc161322558"/>
      <w:bookmarkStart w:id="164" w:name="_Toc126657994"/>
      <w:bookmarkStart w:id="165" w:name="_Toc148617346"/>
      <w:bookmarkEnd w:id="162"/>
      <w:r w:rsidRPr="00582936">
        <w:rPr>
          <w:color w:val="6E6E7C"/>
          <w:sz w:val="40"/>
        </w:rPr>
        <w:lastRenderedPageBreak/>
        <w:t>Metodología de la recolección</w:t>
      </w:r>
      <w:bookmarkEnd w:id="163"/>
      <w:r w:rsidRPr="00582936">
        <w:rPr>
          <w:color w:val="6E6E7C"/>
          <w:sz w:val="40"/>
        </w:rPr>
        <w:t xml:space="preserve"> </w:t>
      </w:r>
      <w:bookmarkEnd w:id="164"/>
      <w:bookmarkEnd w:id="165"/>
    </w:p>
    <w:p w14:paraId="4ABFED11" w14:textId="77777777" w:rsidR="006A74FA" w:rsidRPr="00582936" w:rsidRDefault="006A74FA" w:rsidP="006A74FA">
      <w:pPr>
        <w:spacing w:after="200"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 xml:space="preserve">En esta fase se capta la información de la operación estadística, mediante métodos de recolección establecidos. La ENESEM captura los datos a través del aplicativo web INFOCAPT, y los almacena en un ambiente apropiado, resguardando la seguridad para su posterior procesamiento. Entre otras actividades, en esta fase se prepara la cartografía, se selecciona la muestra, y se asignan las cargas de trabajo. </w:t>
      </w:r>
    </w:p>
    <w:p w14:paraId="3FF671D4" w14:textId="77777777" w:rsidR="006A74FA" w:rsidRPr="00582936" w:rsidRDefault="006A74FA" w:rsidP="006A74FA">
      <w:pPr>
        <w:spacing w:after="200"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 xml:space="preserve">Se precisa que, en el contexto de procesos de mejora continua y con base a la experiencia adquirida en el levantamiento de rondas anteriores de la ENESEM, su ejecución ha replanteado los aspectos técnicos, metodológicos y logísticos, con el fin de que la representatividad y calidad de los resultados no sean afectadas. Es así </w:t>
      </w:r>
      <w:r w:rsidR="00BD0CD2" w:rsidRPr="00582936">
        <w:rPr>
          <w:rFonts w:ascii="Century Gothic" w:eastAsia="Calibri" w:hAnsi="Century Gothic" w:cs="Times New Roman"/>
          <w:bCs/>
          <w:iCs/>
          <w:color w:val="6E6E7C"/>
          <w:sz w:val="21"/>
          <w:szCs w:val="21"/>
        </w:rPr>
        <w:t>como</w:t>
      </w:r>
      <w:r w:rsidRPr="00582936">
        <w:rPr>
          <w:rFonts w:ascii="Century Gothic" w:eastAsia="Calibri" w:hAnsi="Century Gothic" w:cs="Times New Roman"/>
          <w:bCs/>
          <w:iCs/>
          <w:color w:val="6E6E7C"/>
          <w:sz w:val="21"/>
          <w:szCs w:val="21"/>
        </w:rPr>
        <w:t>, se ha dado prioridad al uso de medios telemáticos.</w:t>
      </w:r>
    </w:p>
    <w:p w14:paraId="6C79A4E2" w14:textId="77777777" w:rsidR="006A74FA" w:rsidRPr="00582936" w:rsidRDefault="006A74FA" w:rsidP="006A74FA">
      <w:pPr>
        <w:pStyle w:val="Prrafodelista"/>
        <w:keepNext/>
        <w:keepLines/>
        <w:numPr>
          <w:ilvl w:val="0"/>
          <w:numId w:val="2"/>
        </w:numPr>
        <w:tabs>
          <w:tab w:val="left" w:pos="567"/>
        </w:tabs>
        <w:spacing w:before="120" w:after="120"/>
        <w:contextualSpacing w:val="0"/>
        <w:outlineLvl w:val="2"/>
        <w:rPr>
          <w:rFonts w:ascii="Century Gothic" w:hAnsi="Century Gothic"/>
          <w:b/>
          <w:vanish/>
          <w:color w:val="6E6E7C"/>
          <w:sz w:val="24"/>
        </w:rPr>
      </w:pPr>
      <w:bookmarkStart w:id="166" w:name="_Toc116035354"/>
      <w:bookmarkStart w:id="167" w:name="_Toc116035455"/>
      <w:bookmarkStart w:id="168" w:name="_Toc116035631"/>
      <w:bookmarkStart w:id="169" w:name="_Toc116035355"/>
      <w:bookmarkStart w:id="170" w:name="_Toc116035456"/>
      <w:bookmarkStart w:id="171" w:name="_Toc116035632"/>
      <w:bookmarkStart w:id="172" w:name="_Toc124332731"/>
      <w:bookmarkStart w:id="173" w:name="_Toc126077984"/>
      <w:bookmarkStart w:id="174" w:name="_Toc124332732"/>
      <w:bookmarkStart w:id="175" w:name="_Toc126077985"/>
      <w:bookmarkStart w:id="176" w:name="_Toc124332733"/>
      <w:bookmarkStart w:id="177" w:name="_Toc126077986"/>
      <w:bookmarkStart w:id="178" w:name="_Toc124332734"/>
      <w:bookmarkStart w:id="179" w:name="_Toc126077987"/>
      <w:bookmarkStart w:id="180" w:name="_Toc131062458"/>
      <w:bookmarkStart w:id="181" w:name="_Toc131492796"/>
      <w:bookmarkStart w:id="182" w:name="_Toc148617347"/>
      <w:bookmarkStart w:id="183" w:name="_Toc155867212"/>
      <w:bookmarkStart w:id="184" w:name="_Toc156907660"/>
      <w:bookmarkStart w:id="185" w:name="_Toc156907741"/>
      <w:bookmarkStart w:id="186" w:name="_Toc156908243"/>
      <w:bookmarkStart w:id="187" w:name="_Toc157007251"/>
      <w:bookmarkStart w:id="188" w:name="_Toc157007318"/>
      <w:bookmarkStart w:id="189" w:name="_Toc157368442"/>
      <w:bookmarkStart w:id="190" w:name="_Toc157542072"/>
      <w:bookmarkStart w:id="191" w:name="_Toc157585741"/>
      <w:bookmarkStart w:id="192" w:name="_Toc157586011"/>
      <w:bookmarkStart w:id="193" w:name="_Toc157671073"/>
      <w:bookmarkStart w:id="194" w:name="_Toc157672220"/>
      <w:bookmarkStart w:id="195" w:name="_Toc158206842"/>
      <w:bookmarkStart w:id="196" w:name="_Toc161297034"/>
      <w:bookmarkStart w:id="197" w:name="_Toc161322493"/>
      <w:bookmarkStart w:id="198" w:name="_Toc161322559"/>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11B76E43" w14:textId="77777777" w:rsidR="006A74FA" w:rsidRPr="00BD0CD2" w:rsidRDefault="006A74FA" w:rsidP="006A74FA">
      <w:pPr>
        <w:pStyle w:val="Ttulo2"/>
        <w:numPr>
          <w:ilvl w:val="1"/>
          <w:numId w:val="1"/>
        </w:numPr>
        <w:spacing w:before="0" w:line="276" w:lineRule="auto"/>
        <w:jc w:val="both"/>
        <w:rPr>
          <w:rFonts w:eastAsiaTheme="minorHAnsi" w:cstheme="minorBidi"/>
          <w:bCs/>
          <w:color w:val="6E6E7C"/>
          <w:sz w:val="28"/>
          <w:szCs w:val="44"/>
        </w:rPr>
      </w:pPr>
      <w:bookmarkStart w:id="199" w:name="_Toc148617348"/>
      <w:bookmarkStart w:id="200" w:name="_Toc161322560"/>
      <w:bookmarkStart w:id="201" w:name="_Toc126657996"/>
      <w:r w:rsidRPr="00BD0CD2">
        <w:rPr>
          <w:rFonts w:eastAsiaTheme="minorHAnsi" w:cstheme="minorBidi"/>
          <w:bCs/>
          <w:color w:val="6E6E7C"/>
          <w:sz w:val="28"/>
          <w:szCs w:val="44"/>
        </w:rPr>
        <w:t>Cartografía estadística</w:t>
      </w:r>
      <w:bookmarkEnd w:id="199"/>
      <w:bookmarkEnd w:id="200"/>
      <w:r w:rsidRPr="00BD0CD2">
        <w:rPr>
          <w:rFonts w:eastAsiaTheme="minorHAnsi" w:cstheme="minorBidi"/>
          <w:bCs/>
          <w:color w:val="6E6E7C"/>
          <w:sz w:val="28"/>
          <w:szCs w:val="44"/>
        </w:rPr>
        <w:t xml:space="preserve"> </w:t>
      </w:r>
      <w:bookmarkEnd w:id="201"/>
    </w:p>
    <w:p w14:paraId="450DB311" w14:textId="77777777" w:rsidR="006A74FA" w:rsidRPr="00582936" w:rsidRDefault="006A74FA" w:rsidP="006A74FA">
      <w:pPr>
        <w:spacing w:after="200"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 xml:space="preserve">El proceso de actualización cartográfica estadística se realiza a las variables que permiten la correcta identificación y ubicación de la empresa seleccionada para llevar a cabo la investigación; éstas son: provincia, cantón, parroquia, zona, sector y manzana. </w:t>
      </w:r>
    </w:p>
    <w:p w14:paraId="399B6BE4" w14:textId="77777777" w:rsidR="006A74FA" w:rsidRPr="00582936" w:rsidRDefault="006A74FA" w:rsidP="006A74FA">
      <w:pPr>
        <w:spacing w:after="200"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Esta actividad se ejecuta en conjunto con las Coordinaciones Zonales, que son las oficinas de gestión desconcentradas del INEC para realizar las operaciones estadísticas y son: Coordinación Zonal Litoral (sede en Guayaquil), Coordinación Zonal Sur (sede en Cuenca), Coordinación Zonal Centro (sede en Ambato), y Administración Central (Dirección de Cartografía y Operaciones de Campo, sede en Quito).</w:t>
      </w:r>
    </w:p>
    <w:p w14:paraId="1A86E611" w14:textId="77777777" w:rsidR="006A74FA" w:rsidRPr="00BD0CD2" w:rsidRDefault="006A74FA" w:rsidP="006A74FA">
      <w:pPr>
        <w:pStyle w:val="Ttulo2"/>
        <w:numPr>
          <w:ilvl w:val="1"/>
          <w:numId w:val="1"/>
        </w:numPr>
        <w:spacing w:before="0" w:line="276" w:lineRule="auto"/>
        <w:jc w:val="both"/>
        <w:rPr>
          <w:rFonts w:eastAsiaTheme="minorHAnsi" w:cstheme="minorBidi"/>
          <w:bCs/>
          <w:color w:val="6E6E7C"/>
          <w:sz w:val="28"/>
          <w:szCs w:val="44"/>
        </w:rPr>
      </w:pPr>
      <w:bookmarkStart w:id="202" w:name="_Toc126657997"/>
      <w:bookmarkStart w:id="203" w:name="_Toc148617349"/>
      <w:bookmarkStart w:id="204" w:name="_Toc161322561"/>
      <w:r w:rsidRPr="00BD0CD2">
        <w:rPr>
          <w:rFonts w:eastAsiaTheme="minorHAnsi" w:cstheme="minorBidi"/>
          <w:bCs/>
          <w:color w:val="6E6E7C"/>
          <w:sz w:val="28"/>
          <w:szCs w:val="44"/>
        </w:rPr>
        <w:t>Instrumentos, materiales y sistemas de recolección/ recopilación</w:t>
      </w:r>
      <w:bookmarkEnd w:id="202"/>
      <w:bookmarkEnd w:id="203"/>
      <w:bookmarkEnd w:id="204"/>
    </w:p>
    <w:p w14:paraId="4434E4A8" w14:textId="77777777" w:rsidR="006A74FA" w:rsidRPr="00582936" w:rsidRDefault="006A74FA" w:rsidP="006A74FA">
      <w:pPr>
        <w:rPr>
          <w:rFonts w:ascii="Century Gothic" w:eastAsia="Times New Roman" w:hAnsi="Century Gothic" w:cs="Open Sans"/>
          <w:b/>
          <w:color w:val="6E6E7C"/>
          <w:szCs w:val="21"/>
          <w:lang w:eastAsia="es-ES_tradnl"/>
        </w:rPr>
      </w:pPr>
      <w:r w:rsidRPr="00582936">
        <w:rPr>
          <w:rFonts w:ascii="Century Gothic" w:eastAsia="Times New Roman" w:hAnsi="Century Gothic" w:cs="Open Sans"/>
          <w:b/>
          <w:color w:val="6E6E7C"/>
          <w:szCs w:val="21"/>
          <w:lang w:eastAsia="es-ES_tradnl"/>
        </w:rPr>
        <w:t>Construcción del formulario</w:t>
      </w:r>
      <w:r w:rsidR="00F9652B">
        <w:rPr>
          <w:rFonts w:ascii="Century Gothic" w:eastAsia="Times New Roman" w:hAnsi="Century Gothic" w:cs="Open Sans"/>
          <w:b/>
          <w:color w:val="6E6E7C"/>
          <w:szCs w:val="21"/>
          <w:lang w:eastAsia="es-ES_tradnl"/>
        </w:rPr>
        <w:t xml:space="preserve"> Encuesta</w:t>
      </w:r>
      <w:r w:rsidRPr="00582936">
        <w:rPr>
          <w:rFonts w:ascii="Century Gothic" w:eastAsia="Times New Roman" w:hAnsi="Century Gothic" w:cs="Open Sans"/>
          <w:b/>
          <w:color w:val="6E6E7C"/>
          <w:szCs w:val="21"/>
          <w:lang w:eastAsia="es-ES_tradnl"/>
        </w:rPr>
        <w:t xml:space="preserve"> Estructural Empresarial</w:t>
      </w:r>
    </w:p>
    <w:p w14:paraId="3C34C9A3" w14:textId="77777777" w:rsidR="006A74FA" w:rsidRPr="00582936" w:rsidRDefault="006A74FA" w:rsidP="006A74FA">
      <w:pPr>
        <w:spacing w:before="240"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Una vez elaborada la versión preliminar del formulario, mediante reuniones de trabajo</w:t>
      </w:r>
      <w:r w:rsidR="00F51473">
        <w:rPr>
          <w:rFonts w:ascii="Century Gothic" w:eastAsia="Calibri" w:hAnsi="Century Gothic" w:cs="Calibri"/>
          <w:iCs/>
          <w:color w:val="6E6E7C"/>
          <w:sz w:val="21"/>
          <w:szCs w:val="21"/>
        </w:rPr>
        <w:t xml:space="preserve"> y</w:t>
      </w:r>
      <w:r w:rsidRPr="00582936">
        <w:rPr>
          <w:rFonts w:ascii="Century Gothic" w:eastAsia="Calibri" w:hAnsi="Century Gothic" w:cs="Calibri"/>
          <w:iCs/>
          <w:color w:val="6E6E7C"/>
          <w:sz w:val="21"/>
          <w:szCs w:val="21"/>
        </w:rPr>
        <w:t>/o consultas a los principales usuarios de la operación estadística, se realiza una prueba piloto a fin de identificar y determinar la factibilidad de la inclusión y/o modificación de variables para posteriormente obtener una herramienta de recolección final. Posteriormente, se ejecuta la construcción de la herramienta de captura de información de las empresas investigadas, la cual se desarrolla mediante la actualización del aplicativo web INFOCAPT.</w:t>
      </w:r>
    </w:p>
    <w:p w14:paraId="50284C6E" w14:textId="77777777" w:rsidR="006A74FA" w:rsidRPr="00582936" w:rsidRDefault="006A74FA" w:rsidP="006A74FA">
      <w:pPr>
        <w:spacing w:before="240"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Calibri"/>
          <w:iCs/>
          <w:color w:val="6E6E7C"/>
          <w:sz w:val="21"/>
          <w:szCs w:val="21"/>
        </w:rPr>
        <w:t>Para la presente investigación, se realizaron actualizaciones relacionadas al planteamiento de las preguntas o bloqueos de distintas secciones del formulario. Se destacan las principales:</w:t>
      </w:r>
    </w:p>
    <w:p w14:paraId="3508E61D" w14:textId="77777777" w:rsidR="006A74FA" w:rsidRPr="00582936" w:rsidRDefault="006A74FA" w:rsidP="006A74FA">
      <w:pPr>
        <w:pStyle w:val="Prrafodelista"/>
        <w:numPr>
          <w:ilvl w:val="0"/>
          <w:numId w:val="15"/>
        </w:numPr>
        <w:autoSpaceDE w:val="0"/>
        <w:autoSpaceDN w:val="0"/>
        <w:adjustRightInd w:val="0"/>
        <w:rPr>
          <w:rFonts w:ascii="Century Gothic" w:eastAsia="Calibri" w:hAnsi="Century Gothic" w:cs="Times New Roman"/>
          <w:b/>
          <w:iCs/>
          <w:color w:val="6E6E7C"/>
          <w:sz w:val="21"/>
          <w:szCs w:val="21"/>
          <w:lang w:val="es-ES_tradnl"/>
        </w:rPr>
      </w:pPr>
      <w:r>
        <w:rPr>
          <w:rFonts w:ascii="Century Gothic" w:eastAsia="Calibri" w:hAnsi="Century Gothic" w:cs="Times New Roman"/>
          <w:b/>
          <w:iCs/>
          <w:color w:val="6E6E7C"/>
          <w:sz w:val="21"/>
          <w:szCs w:val="21"/>
          <w:lang w:val="es-ES_tradnl"/>
        </w:rPr>
        <w:t>Funcionamiento durante el 2022</w:t>
      </w:r>
    </w:p>
    <w:p w14:paraId="3170AB52" w14:textId="77777777" w:rsidR="006A74FA" w:rsidRPr="00582936" w:rsidRDefault="006A74FA" w:rsidP="006A74FA">
      <w:pPr>
        <w:numPr>
          <w:ilvl w:val="0"/>
          <w:numId w:val="7"/>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Modificaciones en el texto y literales de la pregunta “6. Derecho de competencias”. </w:t>
      </w:r>
    </w:p>
    <w:p w14:paraId="4A6938E3" w14:textId="77777777" w:rsidR="006A74FA" w:rsidRPr="00582936" w:rsidRDefault="006A74FA" w:rsidP="006A74FA">
      <w:pPr>
        <w:numPr>
          <w:ilvl w:val="0"/>
          <w:numId w:val="7"/>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lastRenderedPageBreak/>
        <w:t xml:space="preserve">Incremento de la pregunta: “7. En cada una de las categorías que se presentan en el cuadro a continuación, señale cuál es su percepción sobre la afectación que podrían tener estas para el ingreso o expansión de las empresas en el mercado al que usted pertenece” </w:t>
      </w:r>
    </w:p>
    <w:p w14:paraId="41B83CF9" w14:textId="77777777" w:rsidR="006A74FA" w:rsidRPr="00582936" w:rsidRDefault="006A74FA" w:rsidP="006A74FA">
      <w:pPr>
        <w:numPr>
          <w:ilvl w:val="0"/>
          <w:numId w:val="7"/>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Traslado de la pregunta “¿En el año 2022, la empresa se encontraba afiliada a una cámara empresarial?” al numeral 8. </w:t>
      </w:r>
    </w:p>
    <w:p w14:paraId="5407F47F" w14:textId="77777777" w:rsidR="006A74FA" w:rsidRPr="00582936" w:rsidRDefault="006A74FA" w:rsidP="006A74FA">
      <w:pPr>
        <w:pStyle w:val="Prrafodelista"/>
        <w:numPr>
          <w:ilvl w:val="0"/>
          <w:numId w:val="15"/>
        </w:numPr>
        <w:autoSpaceDE w:val="0"/>
        <w:autoSpaceDN w:val="0"/>
        <w:adjustRightInd w:val="0"/>
        <w:rPr>
          <w:rFonts w:ascii="Century Gothic" w:eastAsia="Calibri" w:hAnsi="Century Gothic" w:cs="Times New Roman"/>
          <w:b/>
          <w:iCs/>
          <w:color w:val="6E6E7C"/>
          <w:sz w:val="21"/>
          <w:szCs w:val="21"/>
          <w:lang w:val="es-ES_tradnl"/>
        </w:rPr>
      </w:pPr>
      <w:r w:rsidRPr="00582936">
        <w:rPr>
          <w:rFonts w:ascii="Century Gothic" w:eastAsia="Calibri" w:hAnsi="Century Gothic" w:cs="Times New Roman"/>
          <w:b/>
          <w:iCs/>
          <w:color w:val="6E6E7C"/>
          <w:sz w:val="21"/>
          <w:szCs w:val="21"/>
          <w:lang w:val="es-ES_tradnl"/>
        </w:rPr>
        <w:t xml:space="preserve">Capítulo </w:t>
      </w:r>
      <w:r>
        <w:rPr>
          <w:rFonts w:ascii="Century Gothic" w:eastAsia="Calibri" w:hAnsi="Century Gothic" w:cs="Times New Roman"/>
          <w:b/>
          <w:iCs/>
          <w:color w:val="6E6E7C"/>
          <w:sz w:val="21"/>
          <w:szCs w:val="21"/>
          <w:lang w:val="es-ES_tradnl"/>
        </w:rPr>
        <w:t>2. Ventas por tipo de productos</w:t>
      </w:r>
      <w:r w:rsidRPr="00582936">
        <w:rPr>
          <w:rFonts w:ascii="Century Gothic" w:eastAsia="Calibri" w:hAnsi="Century Gothic" w:cs="Times New Roman"/>
          <w:b/>
          <w:iCs/>
          <w:color w:val="6E6E7C"/>
          <w:sz w:val="21"/>
          <w:szCs w:val="21"/>
          <w:lang w:val="es-ES_tradnl"/>
        </w:rPr>
        <w:t xml:space="preserve"> </w:t>
      </w:r>
    </w:p>
    <w:p w14:paraId="503B9662" w14:textId="77777777" w:rsidR="006A74FA" w:rsidRPr="00582936" w:rsidRDefault="006A74FA" w:rsidP="006A74FA">
      <w:pPr>
        <w:numPr>
          <w:ilvl w:val="0"/>
          <w:numId w:val="8"/>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En el cuadro 2.2. Ventas netas de bienes comercializados por la empresa al por mayor: Bloqueo de las columnas 7, 8, 9 y 10 correspondiente a: % Ventas de mercaderías de procedencia nacional (7), % Ventas de mercaderías importadas (8), % Ventas de mercaderías de procedencia nacional (9) y % Ventas de mercaderías importadas (10). </w:t>
      </w:r>
    </w:p>
    <w:p w14:paraId="19051D2C" w14:textId="77777777" w:rsidR="006A74FA" w:rsidRPr="00582936" w:rsidRDefault="006A74FA" w:rsidP="006A74FA">
      <w:pPr>
        <w:numPr>
          <w:ilvl w:val="0"/>
          <w:numId w:val="8"/>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En el cuadro 2.3. Ventas netas de bienes comercializados por la empresa al por menor: Bloqueo de las columnas 3, 7, 8, 9 y 10 correspondiente a: Procedencia de mercaderías (3), % Ventas de mercaderías de procedencia nacional (7), % Ventas de mercaderías importadas (8), % Ventas de mercaderías de procedencia nacional (9) y % Ventas de mercaderías importadas (10). </w:t>
      </w:r>
    </w:p>
    <w:p w14:paraId="743CE637" w14:textId="77777777" w:rsidR="006A74FA" w:rsidRPr="00582936" w:rsidRDefault="006A74FA" w:rsidP="006A74FA">
      <w:pPr>
        <w:numPr>
          <w:ilvl w:val="0"/>
          <w:numId w:val="8"/>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Se omite de la investigación la columna 3: Procedencia de mercaderías: 1. Nacional, 2. Importado, 3. Nacional e importado y se suprime preguntas referentes a: Valoración de inventarios (Refiérase al periodo 2022) </w:t>
      </w:r>
    </w:p>
    <w:p w14:paraId="5F58C5E3" w14:textId="77777777" w:rsidR="006A74FA" w:rsidRPr="00582936" w:rsidRDefault="006A74FA" w:rsidP="006A74FA">
      <w:pPr>
        <w:pStyle w:val="Prrafodelista"/>
        <w:numPr>
          <w:ilvl w:val="0"/>
          <w:numId w:val="15"/>
        </w:numPr>
        <w:autoSpaceDE w:val="0"/>
        <w:autoSpaceDN w:val="0"/>
        <w:adjustRightInd w:val="0"/>
        <w:rPr>
          <w:rFonts w:ascii="Century Gothic" w:eastAsia="Calibri" w:hAnsi="Century Gothic" w:cs="Times New Roman"/>
          <w:b/>
          <w:iCs/>
          <w:color w:val="6E6E7C"/>
          <w:sz w:val="21"/>
          <w:szCs w:val="21"/>
          <w:lang w:val="es-ES_tradnl"/>
        </w:rPr>
      </w:pPr>
      <w:r w:rsidRPr="00582936">
        <w:rPr>
          <w:rFonts w:ascii="Century Gothic" w:eastAsia="Calibri" w:hAnsi="Century Gothic" w:cs="Times New Roman"/>
          <w:b/>
          <w:iCs/>
          <w:color w:val="6E6E7C"/>
          <w:sz w:val="21"/>
          <w:szCs w:val="21"/>
          <w:lang w:val="es-ES_tradnl"/>
        </w:rPr>
        <w:t>Capítulo 4. Activos fijos tangibles e intangibles Año 2</w:t>
      </w:r>
      <w:r>
        <w:rPr>
          <w:rFonts w:ascii="Century Gothic" w:eastAsia="Calibri" w:hAnsi="Century Gothic" w:cs="Times New Roman"/>
          <w:b/>
          <w:iCs/>
          <w:color w:val="6E6E7C"/>
          <w:sz w:val="21"/>
          <w:szCs w:val="21"/>
          <w:lang w:val="es-ES_tradnl"/>
        </w:rPr>
        <w:t>022</w:t>
      </w:r>
    </w:p>
    <w:p w14:paraId="6BAC83AF" w14:textId="77777777" w:rsidR="006A74FA" w:rsidRPr="00582936" w:rsidRDefault="006A74FA" w:rsidP="006A74FA">
      <w:pPr>
        <w:numPr>
          <w:ilvl w:val="0"/>
          <w:numId w:val="8"/>
        </w:numPr>
        <w:spacing w:before="120" w:after="240" w:line="276" w:lineRule="auto"/>
        <w:ind w:left="426" w:hanging="284"/>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En el cuadro 4.1. Activos Fijos Tangibles Año 2022: Bloqueo de las columnas 13, 14 y 15 correspondiente a: Tiempo de uso del ÚLTIMO activo (Años) (13), Tiempo de uso PROMEDIO del activo (Años) (14) y Cuántos activos posee de cada tipo (15). </w:t>
      </w:r>
    </w:p>
    <w:p w14:paraId="5444B1D5" w14:textId="77777777" w:rsidR="006A74FA" w:rsidRPr="00582936" w:rsidRDefault="006A74FA" w:rsidP="006A74FA">
      <w:pPr>
        <w:pStyle w:val="Prrafodelista"/>
        <w:numPr>
          <w:ilvl w:val="0"/>
          <w:numId w:val="15"/>
        </w:numPr>
        <w:autoSpaceDE w:val="0"/>
        <w:autoSpaceDN w:val="0"/>
        <w:adjustRightInd w:val="0"/>
        <w:rPr>
          <w:rFonts w:ascii="Century Gothic" w:eastAsia="Calibri" w:hAnsi="Century Gothic" w:cs="Times New Roman"/>
          <w:b/>
          <w:iCs/>
          <w:color w:val="6E6E7C"/>
          <w:sz w:val="21"/>
          <w:szCs w:val="21"/>
          <w:lang w:val="es-ES_tradnl"/>
        </w:rPr>
      </w:pPr>
      <w:r w:rsidRPr="00582936">
        <w:rPr>
          <w:rFonts w:ascii="Century Gothic" w:eastAsia="Calibri" w:hAnsi="Century Gothic" w:cs="Times New Roman"/>
          <w:b/>
          <w:iCs/>
          <w:color w:val="6E6E7C"/>
          <w:sz w:val="21"/>
          <w:szCs w:val="21"/>
          <w:lang w:val="es-ES_tradnl"/>
        </w:rPr>
        <w:t>Capítulo 6. Identificación e Información Económica de</w:t>
      </w:r>
      <w:r>
        <w:rPr>
          <w:rFonts w:ascii="Century Gothic" w:eastAsia="Calibri" w:hAnsi="Century Gothic" w:cs="Times New Roman"/>
          <w:b/>
          <w:iCs/>
          <w:color w:val="6E6E7C"/>
          <w:sz w:val="21"/>
          <w:szCs w:val="21"/>
          <w:lang w:val="es-ES_tradnl"/>
        </w:rPr>
        <w:t xml:space="preserve"> los Establecimientos Año 2022</w:t>
      </w:r>
    </w:p>
    <w:p w14:paraId="6A670986" w14:textId="77777777" w:rsidR="006A74FA" w:rsidRPr="00582936" w:rsidRDefault="006A74FA" w:rsidP="006A74FA">
      <w:pPr>
        <w:numPr>
          <w:ilvl w:val="0"/>
          <w:numId w:val="9"/>
        </w:numPr>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Se incluyen celdas de totalización paras las columnas: Personal afiliado en el mes de noviembre (10), Sueldos, Salarios y demás remuneraciones que constituyen materia gravada del IESS anuales (11) y Ventas Anuales (12).</w:t>
      </w:r>
    </w:p>
    <w:p w14:paraId="0DE54F05" w14:textId="77777777" w:rsidR="006A74FA" w:rsidRPr="00582936" w:rsidRDefault="006A74FA" w:rsidP="006A74FA">
      <w:pPr>
        <w:pStyle w:val="Prrafodelista"/>
        <w:numPr>
          <w:ilvl w:val="0"/>
          <w:numId w:val="15"/>
        </w:numPr>
        <w:autoSpaceDE w:val="0"/>
        <w:autoSpaceDN w:val="0"/>
        <w:adjustRightInd w:val="0"/>
        <w:rPr>
          <w:rFonts w:ascii="Century Gothic" w:eastAsia="Calibri" w:hAnsi="Century Gothic" w:cs="Times New Roman"/>
          <w:b/>
          <w:iCs/>
          <w:color w:val="6E6E7C"/>
          <w:sz w:val="21"/>
          <w:szCs w:val="21"/>
          <w:lang w:val="es-ES_tradnl"/>
        </w:rPr>
      </w:pPr>
      <w:r w:rsidRPr="00582936">
        <w:rPr>
          <w:rFonts w:ascii="Century Gothic" w:eastAsia="Calibri" w:hAnsi="Century Gothic" w:cs="Times New Roman"/>
          <w:b/>
          <w:iCs/>
          <w:color w:val="6E6E7C"/>
          <w:sz w:val="21"/>
          <w:szCs w:val="21"/>
          <w:lang w:val="es-ES_tradnl"/>
        </w:rPr>
        <w:t xml:space="preserve">Capítulo 7. Gestión Ambiental </w:t>
      </w:r>
    </w:p>
    <w:p w14:paraId="31153787" w14:textId="77777777" w:rsidR="006A74FA" w:rsidRPr="00582936" w:rsidRDefault="006A74FA" w:rsidP="006A74FA">
      <w:pPr>
        <w:numPr>
          <w:ilvl w:val="0"/>
          <w:numId w:val="11"/>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Modificaciones en el texto de la pregunta referente al registro del número de personal afiliado. </w:t>
      </w:r>
    </w:p>
    <w:p w14:paraId="15FFFF2D" w14:textId="77777777" w:rsidR="006A74FA" w:rsidRPr="00582936" w:rsidRDefault="006A74FA" w:rsidP="006A74FA">
      <w:pPr>
        <w:numPr>
          <w:ilvl w:val="0"/>
          <w:numId w:val="11"/>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Se modifica la estructura de la pregunta 1 ¿Su empresa para gestión ambiental en el año 2022, contó con personal dedicado a actividades de protección y gestión ambiental?: </w:t>
      </w:r>
    </w:p>
    <w:p w14:paraId="18ED1F9E" w14:textId="77777777" w:rsidR="006A74FA" w:rsidRDefault="006A74FA" w:rsidP="006A74FA">
      <w:pPr>
        <w:numPr>
          <w:ilvl w:val="0"/>
          <w:numId w:val="11"/>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Se elimina la pregunta 3. ¿Cuál fue el costo y gasto en el año 2022 en Protección y Gestión Ambiental? Y sus categorías de respuestas. </w:t>
      </w:r>
    </w:p>
    <w:p w14:paraId="5C2C170F" w14:textId="77777777" w:rsidR="00661BE1" w:rsidRPr="00582936" w:rsidRDefault="00661BE1" w:rsidP="00661BE1">
      <w:p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p>
    <w:p w14:paraId="5BE2A1B3" w14:textId="77777777" w:rsidR="006A74FA" w:rsidRPr="00582936" w:rsidRDefault="006A74FA" w:rsidP="006A74FA">
      <w:pPr>
        <w:pStyle w:val="Prrafodelista"/>
        <w:numPr>
          <w:ilvl w:val="0"/>
          <w:numId w:val="15"/>
        </w:numPr>
        <w:autoSpaceDE w:val="0"/>
        <w:autoSpaceDN w:val="0"/>
        <w:adjustRightInd w:val="0"/>
        <w:rPr>
          <w:rFonts w:ascii="Century Gothic" w:eastAsia="Calibri" w:hAnsi="Century Gothic" w:cs="Times New Roman"/>
          <w:iCs/>
          <w:color w:val="6E6E7C"/>
          <w:sz w:val="21"/>
          <w:szCs w:val="21"/>
          <w:lang w:val="es-ES_tradnl"/>
        </w:rPr>
      </w:pPr>
      <w:r w:rsidRPr="00582936">
        <w:rPr>
          <w:rFonts w:ascii="Century Gothic" w:eastAsia="Calibri" w:hAnsi="Century Gothic" w:cs="Times New Roman"/>
          <w:b/>
          <w:iCs/>
          <w:color w:val="6E6E7C"/>
          <w:sz w:val="21"/>
          <w:szCs w:val="21"/>
          <w:lang w:val="es-ES_tradnl"/>
        </w:rPr>
        <w:lastRenderedPageBreak/>
        <w:t>Capítulo 10 I Manejo de aguas: agua, manejo de ag</w:t>
      </w:r>
      <w:r>
        <w:rPr>
          <w:rFonts w:ascii="Century Gothic" w:eastAsia="Calibri" w:hAnsi="Century Gothic" w:cs="Times New Roman"/>
          <w:b/>
          <w:iCs/>
          <w:color w:val="6E6E7C"/>
          <w:sz w:val="21"/>
          <w:szCs w:val="21"/>
          <w:lang w:val="es-ES_tradnl"/>
        </w:rPr>
        <w:t>uas residuales y otros residuos</w:t>
      </w:r>
    </w:p>
    <w:p w14:paraId="20623DCD" w14:textId="77777777" w:rsidR="006A74FA" w:rsidRPr="00582936" w:rsidRDefault="006A74FA" w:rsidP="006A74FA">
      <w:pPr>
        <w:numPr>
          <w:ilvl w:val="0"/>
          <w:numId w:val="7"/>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Se retoma la investigación de la pregunta 3. ¿En el 2022, la empresa captó agua de?: </w:t>
      </w:r>
    </w:p>
    <w:p w14:paraId="73E998EB" w14:textId="77777777" w:rsidR="006A74FA" w:rsidRPr="00582936" w:rsidRDefault="006A74FA" w:rsidP="006A74FA">
      <w:pPr>
        <w:pStyle w:val="Prrafodelista"/>
        <w:numPr>
          <w:ilvl w:val="0"/>
          <w:numId w:val="15"/>
        </w:numPr>
        <w:autoSpaceDE w:val="0"/>
        <w:autoSpaceDN w:val="0"/>
        <w:adjustRightInd w:val="0"/>
        <w:rPr>
          <w:rFonts w:ascii="Century Gothic" w:eastAsia="Calibri" w:hAnsi="Century Gothic" w:cs="Times New Roman"/>
          <w:b/>
          <w:iCs/>
          <w:color w:val="6E6E7C"/>
          <w:sz w:val="21"/>
          <w:szCs w:val="21"/>
          <w:lang w:val="es-ES_tradnl"/>
        </w:rPr>
      </w:pPr>
      <w:r w:rsidRPr="00582936">
        <w:rPr>
          <w:rFonts w:ascii="Century Gothic" w:eastAsia="Calibri" w:hAnsi="Century Gothic" w:cs="Times New Roman"/>
          <w:b/>
          <w:iCs/>
          <w:color w:val="6E6E7C"/>
          <w:sz w:val="21"/>
          <w:szCs w:val="21"/>
          <w:lang w:val="es-ES_tradnl"/>
        </w:rPr>
        <w:t>Capítulo 10 II</w:t>
      </w:r>
      <w:r>
        <w:rPr>
          <w:rFonts w:ascii="Century Gothic" w:eastAsia="Calibri" w:hAnsi="Century Gothic" w:cs="Times New Roman"/>
          <w:b/>
          <w:iCs/>
          <w:color w:val="6E6E7C"/>
          <w:sz w:val="21"/>
          <w:szCs w:val="21"/>
          <w:lang w:val="es-ES_tradnl"/>
        </w:rPr>
        <w:t>I. Otros Residuos y/o Desechos</w:t>
      </w:r>
    </w:p>
    <w:p w14:paraId="639C5918" w14:textId="77777777" w:rsidR="006A74FA" w:rsidRDefault="006A74FA" w:rsidP="006A74FA">
      <w:pPr>
        <w:numPr>
          <w:ilvl w:val="0"/>
          <w:numId w:val="7"/>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En las tablas referentes a Residuos peligrosos (10.III.1), Deshechos especiales (10.III.2) y Deshechos peligrosos (10.III.3) no serán objeto de investigación las siguientes columnas: </w:t>
      </w:r>
    </w:p>
    <w:p w14:paraId="0012D2F3"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1.1 ¿Clasificó este desecho? (SI/NO) </w:t>
      </w:r>
    </w:p>
    <w:p w14:paraId="6D3376F6"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3.1.1 ¿Reutilizó este desecho?: SI/NO </w:t>
      </w:r>
    </w:p>
    <w:p w14:paraId="6A67AE88"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3.2.1 Otro tipo de recuperación: SI/NO </w:t>
      </w:r>
    </w:p>
    <w:p w14:paraId="269F85ED"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3.3.1 ¿Almacenó este desecho?: SI/NO </w:t>
      </w:r>
    </w:p>
    <w:p w14:paraId="50E1ABDD"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4.1.1 ¿Gestionó este desecho?: SI/NO </w:t>
      </w:r>
    </w:p>
    <w:p w14:paraId="7C8B2429"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5 Total </w:t>
      </w:r>
    </w:p>
    <w:p w14:paraId="00F721CC"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6.1 ¿Le generó un gasto gestionar este desecho?: SI/NO </w:t>
      </w:r>
    </w:p>
    <w:p w14:paraId="23D84DFA"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6.2 ¿Le generó un gasto gestionar este desecho?: Valor </w:t>
      </w:r>
    </w:p>
    <w:p w14:paraId="3C343282" w14:textId="77777777" w:rsidR="006A74FA" w:rsidRPr="00582936" w:rsidRDefault="006A74FA" w:rsidP="006A74FA">
      <w:pPr>
        <w:numPr>
          <w:ilvl w:val="0"/>
          <w:numId w:val="12"/>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7.1 ¿Obtuvo un ingreso al gestionar este desecho?: SI/NO </w:t>
      </w:r>
    </w:p>
    <w:p w14:paraId="39827D88" w14:textId="77777777" w:rsidR="006A74FA" w:rsidRPr="00582936" w:rsidRDefault="006A74FA" w:rsidP="006A74FA">
      <w:pPr>
        <w:numPr>
          <w:ilvl w:val="0"/>
          <w:numId w:val="12"/>
        </w:numPr>
        <w:autoSpaceDE w:val="0"/>
        <w:autoSpaceDN w:val="0"/>
        <w:adjustRightInd w:val="0"/>
        <w:spacing w:before="120" w:after="24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Columna 7.2 ¿Obtuvo un ingreso al gestionar este desecho?: Valor </w:t>
      </w:r>
    </w:p>
    <w:p w14:paraId="5E169389" w14:textId="77777777" w:rsidR="00A02A19" w:rsidRPr="00A02A19" w:rsidRDefault="00A02A19" w:rsidP="006A74FA">
      <w:pPr>
        <w:autoSpaceDE w:val="0"/>
        <w:autoSpaceDN w:val="0"/>
        <w:adjustRightInd w:val="0"/>
        <w:spacing w:after="200" w:line="276" w:lineRule="auto"/>
        <w:jc w:val="both"/>
        <w:rPr>
          <w:rFonts w:ascii="Century Gothic" w:eastAsia="Calibri" w:hAnsi="Century Gothic" w:cs="Times New Roman"/>
          <w:iCs/>
          <w:color w:val="6E6E7C"/>
          <w:sz w:val="2"/>
          <w:szCs w:val="21"/>
          <w:lang w:val="es-ES_tradnl"/>
        </w:rPr>
      </w:pPr>
    </w:p>
    <w:p w14:paraId="2326D366" w14:textId="77777777" w:rsidR="006A74FA" w:rsidRPr="00582936" w:rsidRDefault="006A74FA" w:rsidP="006A74FA">
      <w:pPr>
        <w:autoSpaceDE w:val="0"/>
        <w:autoSpaceDN w:val="0"/>
        <w:adjustRightInd w:val="0"/>
        <w:spacing w:after="200" w:line="276" w:lineRule="auto"/>
        <w:jc w:val="both"/>
        <w:rPr>
          <w:rFonts w:ascii="Century Gothic" w:eastAsia="Calibri" w:hAnsi="Century Gothic" w:cs="Times New Roman"/>
          <w:iCs/>
          <w:color w:val="6E6E7C"/>
          <w:sz w:val="21"/>
          <w:szCs w:val="21"/>
          <w:lang w:val="es-ES_tradnl"/>
        </w:rPr>
      </w:pPr>
      <w:r w:rsidRPr="00582936">
        <w:rPr>
          <w:rFonts w:ascii="Century Gothic" w:eastAsia="Calibri" w:hAnsi="Century Gothic" w:cs="Times New Roman"/>
          <w:iCs/>
          <w:color w:val="6E6E7C"/>
          <w:sz w:val="21"/>
          <w:szCs w:val="21"/>
          <w:lang w:val="es-ES_tradnl"/>
        </w:rPr>
        <w:t xml:space="preserve">Así también, se incluyen las preguntas: </w:t>
      </w:r>
    </w:p>
    <w:p w14:paraId="2388C7B9" w14:textId="77777777" w:rsidR="006A74FA" w:rsidRPr="00582936" w:rsidRDefault="006A74FA" w:rsidP="006A74FA">
      <w:pPr>
        <w:numPr>
          <w:ilvl w:val="0"/>
          <w:numId w:val="13"/>
        </w:numPr>
        <w:autoSpaceDE w:val="0"/>
        <w:autoSpaceDN w:val="0"/>
        <w:adjustRightInd w:val="0"/>
        <w:spacing w:before="120" w:after="58"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¿Le generó un gasto gestionar los residuos no peligrosos? y la pregunta 1.1.2 ¿Cuánto gasto? </w:t>
      </w:r>
    </w:p>
    <w:p w14:paraId="5162CB9D" w14:textId="77777777" w:rsidR="006A74FA" w:rsidRPr="00582936" w:rsidRDefault="006A74FA" w:rsidP="006A74FA">
      <w:pPr>
        <w:numPr>
          <w:ilvl w:val="0"/>
          <w:numId w:val="13"/>
        </w:numPr>
        <w:autoSpaceDE w:val="0"/>
        <w:autoSpaceDN w:val="0"/>
        <w:adjustRightInd w:val="0"/>
        <w:spacing w:before="120" w:after="58"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¿Obtuvo un ingreso al gestionar los residuos no peligrosos? y la pregunta 1.2.1 ¿Cuánto gasto? </w:t>
      </w:r>
    </w:p>
    <w:p w14:paraId="562A23D8" w14:textId="77777777" w:rsidR="006A74FA" w:rsidRPr="00582936" w:rsidRDefault="006A74FA" w:rsidP="006A74FA">
      <w:pPr>
        <w:numPr>
          <w:ilvl w:val="0"/>
          <w:numId w:val="13"/>
        </w:numPr>
        <w:autoSpaceDE w:val="0"/>
        <w:autoSpaceDN w:val="0"/>
        <w:adjustRightInd w:val="0"/>
        <w:spacing w:before="120" w:after="58"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2.1 ¿Le generó un gasto gestionar los desechos no peligrosos? y la pregunta 2.1.2 ¿Cuánto gasto? </w:t>
      </w:r>
    </w:p>
    <w:p w14:paraId="29ADFF32" w14:textId="77777777" w:rsidR="006A74FA" w:rsidRPr="00582936" w:rsidRDefault="006A74FA" w:rsidP="006A74FA">
      <w:pPr>
        <w:numPr>
          <w:ilvl w:val="0"/>
          <w:numId w:val="13"/>
        </w:numPr>
        <w:autoSpaceDE w:val="0"/>
        <w:autoSpaceDN w:val="0"/>
        <w:adjustRightInd w:val="0"/>
        <w:spacing w:before="120" w:after="58"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2.2 ¿Obtuvo un ingreso al gestionar los desechos no peligrosos? y la pregunta 2.2.1 ¿Cuánto gasto? </w:t>
      </w:r>
    </w:p>
    <w:p w14:paraId="1323DFF5" w14:textId="77777777" w:rsidR="006A74FA" w:rsidRPr="00582936" w:rsidRDefault="006A74FA" w:rsidP="006A74FA">
      <w:pPr>
        <w:numPr>
          <w:ilvl w:val="0"/>
          <w:numId w:val="14"/>
        </w:numPr>
        <w:autoSpaceDE w:val="0"/>
        <w:autoSpaceDN w:val="0"/>
        <w:adjustRightInd w:val="0"/>
        <w:spacing w:before="120" w:after="58"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3.1 ¿Le generó un gasto gestionar los desechos peligrosos? y la pregunta 3.1.2 ¿Cuánto gasto? </w:t>
      </w:r>
    </w:p>
    <w:p w14:paraId="625375B8" w14:textId="77777777" w:rsidR="006A74FA" w:rsidRPr="00582936" w:rsidRDefault="006A74FA" w:rsidP="006A74FA">
      <w:pPr>
        <w:numPr>
          <w:ilvl w:val="0"/>
          <w:numId w:val="14"/>
        </w:numPr>
        <w:autoSpaceDE w:val="0"/>
        <w:autoSpaceDN w:val="0"/>
        <w:adjustRightInd w:val="0"/>
        <w:spacing w:before="120" w:after="24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¿Obtuvo un ingreso al gestionar los desechos peligrosos? y la pregunta 3.2.1 ¿Cuánto gasto? </w:t>
      </w:r>
    </w:p>
    <w:p w14:paraId="36D80B21" w14:textId="77777777" w:rsidR="006A74FA" w:rsidRPr="00582936" w:rsidRDefault="006A74FA" w:rsidP="006A74FA">
      <w:pPr>
        <w:numPr>
          <w:ilvl w:val="0"/>
          <w:numId w:val="7"/>
        </w:numPr>
        <w:autoSpaceDE w:val="0"/>
        <w:autoSpaceDN w:val="0"/>
        <w:adjustRightInd w:val="0"/>
        <w:spacing w:after="200" w:line="276" w:lineRule="auto"/>
        <w:ind w:left="284" w:hanging="284"/>
        <w:jc w:val="both"/>
        <w:rPr>
          <w:rFonts w:ascii="Century Gothic" w:eastAsia="Calibri" w:hAnsi="Century Gothic" w:cs="Times New Roman"/>
          <w:iCs/>
          <w:color w:val="6E6E7C"/>
          <w:sz w:val="21"/>
          <w:szCs w:val="21"/>
          <w:lang w:val="es-ES_tradnl"/>
        </w:rPr>
      </w:pPr>
      <w:r w:rsidRPr="00582936">
        <w:rPr>
          <w:rFonts w:ascii="Century Gothic" w:eastAsia="Calibri" w:hAnsi="Century Gothic" w:cs="Times New Roman"/>
          <w:iCs/>
          <w:color w:val="6E6E7C"/>
          <w:sz w:val="21"/>
          <w:szCs w:val="21"/>
          <w:lang w:val="es-ES_tradnl"/>
        </w:rPr>
        <w:t>Se reanuda la investigación de la pregunta 4. ¿En el 2022, su empresa recibió algún residuo y/o desecho (no peligroso, peligroso o especial) para utilizarlo en su proceso productivo?</w:t>
      </w:r>
    </w:p>
    <w:p w14:paraId="192FD16C" w14:textId="77777777" w:rsidR="006A74FA" w:rsidRPr="00582936" w:rsidRDefault="006A74FA" w:rsidP="006A74FA">
      <w:pPr>
        <w:pStyle w:val="Prrafodelista"/>
        <w:numPr>
          <w:ilvl w:val="0"/>
          <w:numId w:val="14"/>
        </w:numPr>
        <w:autoSpaceDE w:val="0"/>
        <w:autoSpaceDN w:val="0"/>
        <w:adjustRightInd w:val="0"/>
        <w:rPr>
          <w:rFonts w:ascii="Century Gothic" w:eastAsia="Calibri" w:hAnsi="Century Gothic" w:cs="Times New Roman"/>
          <w:b/>
          <w:iCs/>
          <w:color w:val="6E6E7C"/>
          <w:sz w:val="21"/>
          <w:szCs w:val="21"/>
          <w:lang w:val="es-ES_tradnl"/>
        </w:rPr>
      </w:pPr>
      <w:r>
        <w:rPr>
          <w:rFonts w:ascii="Century Gothic" w:eastAsia="Calibri" w:hAnsi="Century Gothic" w:cs="Times New Roman"/>
          <w:b/>
          <w:iCs/>
          <w:color w:val="6E6E7C"/>
          <w:sz w:val="21"/>
          <w:szCs w:val="21"/>
          <w:lang w:val="es-ES_tradnl"/>
        </w:rPr>
        <w:t>Capítulo 11 TIC</w:t>
      </w:r>
    </w:p>
    <w:p w14:paraId="5A81ED4E" w14:textId="77777777" w:rsidR="006A74FA" w:rsidRPr="00582936" w:rsidRDefault="006A74FA" w:rsidP="006A74FA">
      <w:pPr>
        <w:numPr>
          <w:ilvl w:val="0"/>
          <w:numId w:val="9"/>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Modificaciones en los literales de las preguntas “1.3. Del valor total descrito en la pregunta anterior ¿qué porcentajes se destinaron para los siguientes ítems de productos TIC?” y “2.2.3. Señale el tipo de conexión por Banda Ancha Móvil que utilizó la empresa”. </w:t>
      </w:r>
    </w:p>
    <w:p w14:paraId="4579B7B5" w14:textId="77777777" w:rsidR="006A74FA" w:rsidRPr="00582936" w:rsidRDefault="006A74FA" w:rsidP="006A74FA">
      <w:pPr>
        <w:numPr>
          <w:ilvl w:val="0"/>
          <w:numId w:val="9"/>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Agrupación de las preguntas referentes a tipos de conexión que utilizó la empresa en el 2022. </w:t>
      </w:r>
    </w:p>
    <w:p w14:paraId="69896395" w14:textId="77777777" w:rsidR="006A74FA" w:rsidRPr="00582936" w:rsidRDefault="006A74FA" w:rsidP="006A74FA">
      <w:pPr>
        <w:numPr>
          <w:ilvl w:val="0"/>
          <w:numId w:val="9"/>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lastRenderedPageBreak/>
        <w:t xml:space="preserve">Unión de las opciones “Intranet” y “Extranet” en una misma pregunta: ¿Contaba su empresa con una página interna en la Web (intranet) y/o extranet en el año 2022? </w:t>
      </w:r>
    </w:p>
    <w:p w14:paraId="56BE3A3F" w14:textId="77777777" w:rsidR="006A74FA" w:rsidRPr="00582936" w:rsidRDefault="006A74FA" w:rsidP="006A74FA">
      <w:pPr>
        <w:numPr>
          <w:ilvl w:val="0"/>
          <w:numId w:val="9"/>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Traslado de la sección 2.6. Actividades y gastos para el desarrollo de innovaciones de producto y proceso en el 2022 al capítulo 11. Tecnologías de la información y comunicación. </w:t>
      </w:r>
    </w:p>
    <w:p w14:paraId="5ACD6B09" w14:textId="77777777" w:rsidR="006A74FA" w:rsidRPr="00582936" w:rsidRDefault="006A74FA" w:rsidP="006A74FA">
      <w:pPr>
        <w:numPr>
          <w:ilvl w:val="0"/>
          <w:numId w:val="6"/>
        </w:numPr>
        <w:autoSpaceDE w:val="0"/>
        <w:autoSpaceDN w:val="0"/>
        <w:adjustRightInd w:val="0"/>
        <w:spacing w:before="120" w:after="240" w:line="276" w:lineRule="auto"/>
        <w:ind w:left="426"/>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Incremento de las preguntas: </w:t>
      </w:r>
    </w:p>
    <w:p w14:paraId="1590248B" w14:textId="77777777" w:rsidR="006A74FA" w:rsidRPr="00582936" w:rsidRDefault="006A74FA" w:rsidP="006A74FA">
      <w:pPr>
        <w:numPr>
          <w:ilvl w:val="0"/>
          <w:numId w:val="10"/>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6.2.1. Seleccione el tipo de personal al que capacitó en temáticas TIC </w:t>
      </w:r>
    </w:p>
    <w:p w14:paraId="55D6AE07" w14:textId="77777777" w:rsidR="006A74FA" w:rsidRPr="00582936" w:rsidRDefault="006A74FA" w:rsidP="006A74FA">
      <w:pPr>
        <w:numPr>
          <w:ilvl w:val="0"/>
          <w:numId w:val="10"/>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6.3. ¿Durante el año 2022, la empresa trabajó en el desarrollo de competencias digitales de sus colaboradores? </w:t>
      </w:r>
    </w:p>
    <w:p w14:paraId="27DF31F7" w14:textId="77777777" w:rsidR="006A74FA" w:rsidRPr="00582936" w:rsidRDefault="006A74FA" w:rsidP="006A74FA">
      <w:pPr>
        <w:numPr>
          <w:ilvl w:val="0"/>
          <w:numId w:val="10"/>
        </w:num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6.4. ¿Durante el año 2022, el desarrollo de competencias digitales es el resultado de una estrategia de la empresa para fomentar el Talento Digital? de ingeniería y diseño industrial, ¿estudios de mercado? </w:t>
      </w:r>
    </w:p>
    <w:p w14:paraId="388C8807" w14:textId="77777777" w:rsidR="006A74FA" w:rsidRPr="00582936" w:rsidRDefault="006A74FA" w:rsidP="006A74FA">
      <w:pPr>
        <w:autoSpaceDE w:val="0"/>
        <w:autoSpaceDN w:val="0"/>
        <w:adjustRightInd w:val="0"/>
        <w:spacing w:before="120" w:after="60" w:line="276" w:lineRule="auto"/>
        <w:contextualSpacing/>
        <w:jc w:val="both"/>
        <w:rPr>
          <w:rFonts w:ascii="Century Gothic" w:eastAsia="Calibri" w:hAnsi="Century Gothic" w:cs="Times New Roman"/>
          <w:iCs/>
          <w:color w:val="6E6E7C"/>
          <w:sz w:val="21"/>
          <w:szCs w:val="21"/>
        </w:rPr>
      </w:pPr>
    </w:p>
    <w:p w14:paraId="024B5056" w14:textId="77777777" w:rsidR="006A74FA" w:rsidRPr="00582936" w:rsidRDefault="006A74FA" w:rsidP="006A74FA">
      <w:pPr>
        <w:autoSpaceDE w:val="0"/>
        <w:autoSpaceDN w:val="0"/>
        <w:adjustRightInd w:val="0"/>
        <w:spacing w:before="120" w:after="60" w:line="276" w:lineRule="auto"/>
        <w:contextualSpacing/>
        <w:jc w:val="both"/>
        <w:rPr>
          <w:rFonts w:ascii="Century Gothic" w:eastAsia="Calibri" w:hAnsi="Century Gothic" w:cs="Times New Roman"/>
          <w:b/>
          <w:iCs/>
          <w:color w:val="6E6E7C"/>
          <w:szCs w:val="21"/>
        </w:rPr>
      </w:pPr>
      <w:r w:rsidRPr="00582936">
        <w:rPr>
          <w:rFonts w:ascii="Century Gothic" w:eastAsia="Calibri" w:hAnsi="Century Gothic" w:cs="Times New Roman"/>
          <w:b/>
          <w:iCs/>
          <w:color w:val="6E6E7C"/>
          <w:szCs w:val="21"/>
        </w:rPr>
        <w:t>Aplicat</w:t>
      </w:r>
      <w:r w:rsidR="00932C6D">
        <w:rPr>
          <w:rFonts w:ascii="Century Gothic" w:eastAsia="Calibri" w:hAnsi="Century Gothic" w:cs="Times New Roman"/>
          <w:b/>
          <w:iCs/>
          <w:color w:val="6E6E7C"/>
          <w:szCs w:val="21"/>
        </w:rPr>
        <w:t>ivo Web</w:t>
      </w:r>
      <w:r w:rsidRPr="00582936">
        <w:rPr>
          <w:rFonts w:ascii="Century Gothic" w:eastAsia="Calibri" w:hAnsi="Century Gothic" w:cs="Times New Roman"/>
          <w:b/>
          <w:iCs/>
          <w:color w:val="6E6E7C"/>
          <w:szCs w:val="21"/>
        </w:rPr>
        <w:t xml:space="preserve"> INFOCAPT – ENESEM</w:t>
      </w:r>
    </w:p>
    <w:p w14:paraId="1E5593EA" w14:textId="77777777" w:rsidR="006A74FA" w:rsidRPr="00A02A19" w:rsidRDefault="006A74FA" w:rsidP="006A74FA">
      <w:pPr>
        <w:autoSpaceDE w:val="0"/>
        <w:autoSpaceDN w:val="0"/>
        <w:adjustRightInd w:val="0"/>
        <w:spacing w:before="120" w:after="60" w:line="276" w:lineRule="auto"/>
        <w:contextualSpacing/>
        <w:jc w:val="both"/>
        <w:rPr>
          <w:rFonts w:ascii="Century Gothic" w:eastAsia="Calibri" w:hAnsi="Century Gothic" w:cs="Times New Roman"/>
          <w:b/>
          <w:iCs/>
          <w:color w:val="6E6E7C"/>
          <w:sz w:val="14"/>
          <w:szCs w:val="21"/>
        </w:rPr>
      </w:pPr>
    </w:p>
    <w:p w14:paraId="541832FA" w14:textId="77777777" w:rsidR="006A74FA" w:rsidRPr="00582936" w:rsidRDefault="006A74FA" w:rsidP="006A74FA">
      <w:p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El sistema INFOCAPT es un aplicativo web generado por la Dirección de Tecnologías de la Información y Comunicación (DITIC) del INEC, donde se almacenan varias encuestas que desarrolla la institución, permitiendo agilitar la captura de información. </w:t>
      </w:r>
    </w:p>
    <w:p w14:paraId="3F688FCA" w14:textId="77777777" w:rsidR="006A74FA" w:rsidRPr="00582936" w:rsidRDefault="006A74FA" w:rsidP="006A74FA">
      <w:pPr>
        <w:spacing w:line="276" w:lineRule="auto"/>
        <w:jc w:val="both"/>
        <w:rPr>
          <w:rFonts w:ascii="Century Gothic" w:eastAsia="Calibri" w:hAnsi="Century Gothic" w:cs="Calibri"/>
          <w:iCs/>
          <w:color w:val="6E6E7C"/>
          <w:sz w:val="21"/>
          <w:szCs w:val="21"/>
        </w:rPr>
      </w:pPr>
    </w:p>
    <w:p w14:paraId="29611299"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Para facilitar el manejo y comprensión de la herramienta se dispone de una guía de usuario, la cual está enfocada hacia el “informante” de la Encuesta Estructural Empresarial </w:t>
      </w:r>
      <w:r w:rsidRPr="006B145B">
        <w:rPr>
          <w:rFonts w:ascii="Century Gothic" w:eastAsia="Calibri" w:hAnsi="Century Gothic" w:cs="Calibri"/>
          <w:bCs/>
          <w:iCs/>
          <w:color w:val="6E6E7C"/>
          <w:sz w:val="21"/>
          <w:szCs w:val="21"/>
        </w:rPr>
        <w:t>(</w:t>
      </w:r>
      <w:r w:rsidRPr="00582936">
        <w:rPr>
          <w:rFonts w:ascii="Century Gothic" w:eastAsia="Calibri" w:hAnsi="Century Gothic" w:cs="Calibri"/>
          <w:b/>
          <w:iCs/>
          <w:color w:val="6E6E7C"/>
          <w:sz w:val="21"/>
          <w:szCs w:val="21"/>
        </w:rPr>
        <w:t>Anexo 1</w:t>
      </w:r>
      <w:r w:rsidRPr="006B145B">
        <w:rPr>
          <w:rFonts w:ascii="Century Gothic" w:eastAsia="Calibri" w:hAnsi="Century Gothic" w:cs="Calibri"/>
          <w:bCs/>
          <w:iCs/>
          <w:color w:val="6E6E7C"/>
          <w:sz w:val="21"/>
          <w:szCs w:val="21"/>
        </w:rPr>
        <w:t>)</w:t>
      </w:r>
      <w:r w:rsidRPr="00582936">
        <w:rPr>
          <w:rFonts w:ascii="Century Gothic" w:eastAsia="Calibri" w:hAnsi="Century Gothic" w:cs="Calibri"/>
          <w:iCs/>
          <w:color w:val="6E6E7C"/>
          <w:sz w:val="21"/>
          <w:szCs w:val="21"/>
        </w:rPr>
        <w:t>. Se precisa que, el acceso al aplicativo de captación de información se realiza con conexión a internet</w:t>
      </w:r>
      <w:r w:rsidRPr="00582936">
        <w:rPr>
          <w:rFonts w:ascii="Century Gothic" w:eastAsia="Calibri" w:hAnsi="Century Gothic" w:cs="Calibri"/>
          <w:b/>
          <w:iCs/>
          <w:color w:val="6E6E7C"/>
          <w:sz w:val="21"/>
          <w:szCs w:val="21"/>
        </w:rPr>
        <w:t>.</w:t>
      </w:r>
    </w:p>
    <w:p w14:paraId="0C1345BC" w14:textId="77777777" w:rsidR="006A74FA" w:rsidRPr="00582936" w:rsidRDefault="006A74FA" w:rsidP="006A74FA">
      <w:pPr>
        <w:spacing w:before="240"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Para seguridad y control de la información el usuario dispone de una clave y contraseña única para el ingreso al sistema, que debe ser personalizada para garantizar la confidencialidad en la entrega de información, a través del proceso de autenticación.</w:t>
      </w:r>
    </w:p>
    <w:p w14:paraId="5A670214" w14:textId="77777777" w:rsidR="006A74FA" w:rsidRPr="00582936" w:rsidRDefault="006A74FA" w:rsidP="006A74FA">
      <w:p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La ENESEM es una de las encuestas del INEC que cuenta con un sistema de captación y crítica-codificación de información, que consta de </w:t>
      </w:r>
      <w:r w:rsidR="00932C6D">
        <w:rPr>
          <w:rFonts w:ascii="Century Gothic" w:eastAsia="Calibri" w:hAnsi="Century Gothic" w:cs="Calibri"/>
          <w:iCs/>
          <w:color w:val="6E6E7C"/>
          <w:sz w:val="21"/>
          <w:szCs w:val="21"/>
        </w:rPr>
        <w:t>cinco</w:t>
      </w:r>
      <w:r w:rsidRPr="00582936">
        <w:rPr>
          <w:rFonts w:ascii="Century Gothic" w:eastAsia="Calibri" w:hAnsi="Century Gothic" w:cs="Calibri"/>
          <w:iCs/>
          <w:color w:val="6E6E7C"/>
          <w:sz w:val="21"/>
          <w:szCs w:val="21"/>
        </w:rPr>
        <w:t xml:space="preserve"> módulos:</w:t>
      </w:r>
    </w:p>
    <w:p w14:paraId="3CC7AFBA" w14:textId="77777777" w:rsidR="006A74FA" w:rsidRPr="00582936" w:rsidRDefault="006A74FA" w:rsidP="006A74FA">
      <w:pPr>
        <w:spacing w:line="276" w:lineRule="auto"/>
        <w:jc w:val="both"/>
        <w:rPr>
          <w:rFonts w:ascii="Century Gothic" w:eastAsia="Calibri" w:hAnsi="Century Gothic" w:cs="Calibri"/>
          <w:iCs/>
          <w:color w:val="6E6E7C"/>
          <w:sz w:val="21"/>
          <w:szCs w:val="21"/>
        </w:rPr>
      </w:pPr>
    </w:p>
    <w:p w14:paraId="53AD5314" w14:textId="77777777" w:rsidR="006A74FA" w:rsidRPr="00582936" w:rsidRDefault="006A74FA" w:rsidP="00E5524A">
      <w:pPr>
        <w:numPr>
          <w:ilvl w:val="0"/>
          <w:numId w:val="16"/>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Módulo del informante:</w:t>
      </w:r>
      <w:r w:rsidRPr="00582936">
        <w:rPr>
          <w:rFonts w:ascii="Century Gothic" w:eastAsia="Calibri" w:hAnsi="Century Gothic" w:cs="Calibri"/>
          <w:iCs/>
          <w:color w:val="6E6E7C"/>
          <w:sz w:val="21"/>
          <w:szCs w:val="21"/>
        </w:rPr>
        <w:t xml:space="preserve"> el informante de la empresa investigada ingresa la información solicitada de acuerdo con las directrices señaladas en el manual de la encuesta.</w:t>
      </w:r>
    </w:p>
    <w:p w14:paraId="3B58FE4F" w14:textId="77777777" w:rsidR="006A74FA" w:rsidRPr="00582936" w:rsidRDefault="006A74FA" w:rsidP="006A74FA">
      <w:pPr>
        <w:spacing w:line="276" w:lineRule="auto"/>
        <w:ind w:left="720"/>
        <w:contextualSpacing/>
        <w:jc w:val="both"/>
        <w:rPr>
          <w:rFonts w:ascii="Century Gothic" w:eastAsia="Calibri" w:hAnsi="Century Gothic" w:cs="Calibri"/>
          <w:b/>
          <w:iCs/>
          <w:color w:val="6E6E7C"/>
          <w:sz w:val="21"/>
          <w:szCs w:val="21"/>
        </w:rPr>
      </w:pPr>
    </w:p>
    <w:p w14:paraId="6020E095" w14:textId="77777777" w:rsidR="006A74FA" w:rsidRPr="00582936" w:rsidRDefault="006A74FA" w:rsidP="00E5524A">
      <w:pPr>
        <w:numPr>
          <w:ilvl w:val="0"/>
          <w:numId w:val="16"/>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 xml:space="preserve">Módulo del investigador: </w:t>
      </w:r>
      <w:r w:rsidRPr="00582936">
        <w:rPr>
          <w:rFonts w:ascii="Century Gothic" w:eastAsia="Calibri" w:hAnsi="Century Gothic" w:cs="Calibri"/>
          <w:iCs/>
          <w:color w:val="6E6E7C"/>
          <w:sz w:val="21"/>
          <w:szCs w:val="21"/>
        </w:rPr>
        <w:t xml:space="preserve">permite la visualización del aplicativo para el seguimiento del llenado de la encuesta, así como, para la revisión de la información proporcionada, con el fin </w:t>
      </w:r>
      <w:r>
        <w:rPr>
          <w:rFonts w:ascii="Century Gothic" w:eastAsia="Calibri" w:hAnsi="Century Gothic" w:cs="Calibri"/>
          <w:iCs/>
          <w:color w:val="6E6E7C"/>
          <w:sz w:val="21"/>
          <w:szCs w:val="21"/>
        </w:rPr>
        <w:t xml:space="preserve">de </w:t>
      </w:r>
      <w:r w:rsidRPr="00582936">
        <w:rPr>
          <w:rFonts w:ascii="Century Gothic" w:eastAsia="Calibri" w:hAnsi="Century Gothic" w:cs="Calibri"/>
          <w:iCs/>
          <w:color w:val="6E6E7C"/>
          <w:sz w:val="21"/>
          <w:szCs w:val="21"/>
        </w:rPr>
        <w:t>proporcionar información de calidad; donde, de ser necesario</w:t>
      </w:r>
      <w:r>
        <w:rPr>
          <w:rFonts w:ascii="Century Gothic" w:eastAsia="Calibri" w:hAnsi="Century Gothic" w:cs="Calibri"/>
          <w:iCs/>
          <w:color w:val="6E6E7C"/>
          <w:sz w:val="21"/>
          <w:szCs w:val="21"/>
        </w:rPr>
        <w:t>,</w:t>
      </w:r>
      <w:r w:rsidRPr="00582936">
        <w:rPr>
          <w:rFonts w:ascii="Century Gothic" w:eastAsia="Calibri" w:hAnsi="Century Gothic" w:cs="Calibri"/>
          <w:iCs/>
          <w:color w:val="6E6E7C"/>
          <w:sz w:val="21"/>
          <w:szCs w:val="21"/>
        </w:rPr>
        <w:t xml:space="preserve"> solicitar</w:t>
      </w:r>
      <w:r>
        <w:rPr>
          <w:rFonts w:ascii="Century Gothic" w:eastAsia="Calibri" w:hAnsi="Century Gothic" w:cs="Calibri"/>
          <w:iCs/>
          <w:color w:val="6E6E7C"/>
          <w:sz w:val="21"/>
          <w:szCs w:val="21"/>
        </w:rPr>
        <w:t>á</w:t>
      </w:r>
      <w:r w:rsidRPr="00582936">
        <w:rPr>
          <w:rFonts w:ascii="Century Gothic" w:eastAsia="Calibri" w:hAnsi="Century Gothic" w:cs="Calibri"/>
          <w:iCs/>
          <w:color w:val="6E6E7C"/>
          <w:sz w:val="21"/>
          <w:szCs w:val="21"/>
        </w:rPr>
        <w:t xml:space="preserve"> correcci</w:t>
      </w:r>
      <w:r>
        <w:rPr>
          <w:rFonts w:ascii="Century Gothic" w:eastAsia="Calibri" w:hAnsi="Century Gothic" w:cs="Calibri"/>
          <w:iCs/>
          <w:color w:val="6E6E7C"/>
          <w:sz w:val="21"/>
          <w:szCs w:val="21"/>
        </w:rPr>
        <w:t>o</w:t>
      </w:r>
      <w:r w:rsidRPr="00582936">
        <w:rPr>
          <w:rFonts w:ascii="Century Gothic" w:eastAsia="Calibri" w:hAnsi="Century Gothic" w:cs="Calibri"/>
          <w:iCs/>
          <w:color w:val="6E6E7C"/>
          <w:sz w:val="21"/>
          <w:szCs w:val="21"/>
        </w:rPr>
        <w:t>n</w:t>
      </w:r>
      <w:r>
        <w:rPr>
          <w:rFonts w:ascii="Century Gothic" w:eastAsia="Calibri" w:hAnsi="Century Gothic" w:cs="Calibri"/>
          <w:iCs/>
          <w:color w:val="6E6E7C"/>
          <w:sz w:val="21"/>
          <w:szCs w:val="21"/>
        </w:rPr>
        <w:t>es</w:t>
      </w:r>
      <w:r w:rsidRPr="00582936">
        <w:rPr>
          <w:rFonts w:ascii="Century Gothic" w:eastAsia="Calibri" w:hAnsi="Century Gothic" w:cs="Calibri"/>
          <w:iCs/>
          <w:color w:val="6E6E7C"/>
          <w:sz w:val="21"/>
          <w:szCs w:val="21"/>
        </w:rPr>
        <w:t xml:space="preserve"> o justificaci</w:t>
      </w:r>
      <w:r>
        <w:rPr>
          <w:rFonts w:ascii="Century Gothic" w:eastAsia="Calibri" w:hAnsi="Century Gothic" w:cs="Calibri"/>
          <w:iCs/>
          <w:color w:val="6E6E7C"/>
          <w:sz w:val="21"/>
          <w:szCs w:val="21"/>
        </w:rPr>
        <w:t>o</w:t>
      </w:r>
      <w:r w:rsidRPr="00582936">
        <w:rPr>
          <w:rFonts w:ascii="Century Gothic" w:eastAsia="Calibri" w:hAnsi="Century Gothic" w:cs="Calibri"/>
          <w:iCs/>
          <w:color w:val="6E6E7C"/>
          <w:sz w:val="21"/>
          <w:szCs w:val="21"/>
        </w:rPr>
        <w:t>n</w:t>
      </w:r>
      <w:r>
        <w:rPr>
          <w:rFonts w:ascii="Century Gothic" w:eastAsia="Calibri" w:hAnsi="Century Gothic" w:cs="Calibri"/>
          <w:iCs/>
          <w:color w:val="6E6E7C"/>
          <w:sz w:val="21"/>
          <w:szCs w:val="21"/>
        </w:rPr>
        <w:t>es</w:t>
      </w:r>
      <w:r w:rsidRPr="00582936">
        <w:rPr>
          <w:rFonts w:ascii="Century Gothic" w:eastAsia="Calibri" w:hAnsi="Century Gothic" w:cs="Calibri"/>
          <w:iCs/>
          <w:color w:val="6E6E7C"/>
          <w:sz w:val="21"/>
          <w:szCs w:val="21"/>
        </w:rPr>
        <w:t xml:space="preserve"> para </w:t>
      </w:r>
      <w:r>
        <w:rPr>
          <w:rFonts w:ascii="Century Gothic" w:eastAsia="Calibri" w:hAnsi="Century Gothic" w:cs="Calibri"/>
          <w:iCs/>
          <w:color w:val="6E6E7C"/>
          <w:sz w:val="21"/>
          <w:szCs w:val="21"/>
        </w:rPr>
        <w:t>la posterior</w:t>
      </w:r>
      <w:r w:rsidRPr="00582936">
        <w:rPr>
          <w:rFonts w:ascii="Century Gothic" w:eastAsia="Calibri" w:hAnsi="Century Gothic" w:cs="Calibri"/>
          <w:iCs/>
          <w:color w:val="6E6E7C"/>
          <w:sz w:val="21"/>
          <w:szCs w:val="21"/>
        </w:rPr>
        <w:t xml:space="preserve"> revisión del crítico codificador.</w:t>
      </w:r>
    </w:p>
    <w:p w14:paraId="6854A3B2" w14:textId="77777777" w:rsidR="006A74FA" w:rsidRPr="00582936" w:rsidRDefault="006A74FA" w:rsidP="006A74FA">
      <w:pPr>
        <w:spacing w:after="200" w:line="276" w:lineRule="auto"/>
        <w:contextualSpacing/>
        <w:jc w:val="both"/>
        <w:rPr>
          <w:rFonts w:ascii="Century Gothic" w:eastAsia="Calibri" w:hAnsi="Century Gothic" w:cs="Calibri"/>
          <w:b/>
          <w:iCs/>
          <w:color w:val="6E6E7C"/>
          <w:sz w:val="21"/>
          <w:szCs w:val="21"/>
        </w:rPr>
      </w:pPr>
    </w:p>
    <w:p w14:paraId="1218CF44" w14:textId="77777777" w:rsidR="006A74FA" w:rsidRPr="00582936" w:rsidRDefault="006A74FA" w:rsidP="00E5524A">
      <w:pPr>
        <w:numPr>
          <w:ilvl w:val="0"/>
          <w:numId w:val="16"/>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 xml:space="preserve">Módulo de crítica: </w:t>
      </w:r>
      <w:r w:rsidRPr="00582936">
        <w:rPr>
          <w:rFonts w:ascii="Century Gothic" w:eastAsia="Calibri" w:hAnsi="Century Gothic" w:cs="Calibri"/>
          <w:iCs/>
          <w:color w:val="6E6E7C"/>
          <w:sz w:val="21"/>
          <w:szCs w:val="21"/>
        </w:rPr>
        <w:t xml:space="preserve">permite la revisión de la información recolectada, con el fin de identificar errores, datos atípicos, duplicidad de información, y de ser necesaria solventarla o justificarla a través del informante; así mismo se realiza la asignación de las actividades, productos y servicios registrados por </w:t>
      </w:r>
      <w:r w:rsidRPr="00582936">
        <w:rPr>
          <w:rFonts w:ascii="Century Gothic" w:eastAsia="Calibri" w:hAnsi="Century Gothic" w:cs="Calibri"/>
          <w:iCs/>
          <w:color w:val="6E6E7C"/>
          <w:sz w:val="21"/>
          <w:szCs w:val="21"/>
        </w:rPr>
        <w:lastRenderedPageBreak/>
        <w:t>las empresas investigadas; esto a partir de, nomenclaturas internacionales estandarizadas.</w:t>
      </w:r>
    </w:p>
    <w:p w14:paraId="5CD410E2" w14:textId="77777777" w:rsidR="006A74FA" w:rsidRPr="00582936" w:rsidRDefault="006A74FA" w:rsidP="006A74FA">
      <w:pPr>
        <w:spacing w:after="200" w:line="276" w:lineRule="auto"/>
        <w:contextualSpacing/>
        <w:jc w:val="both"/>
        <w:rPr>
          <w:rFonts w:ascii="Century Gothic" w:eastAsia="Calibri" w:hAnsi="Century Gothic" w:cs="Calibri"/>
          <w:iCs/>
          <w:color w:val="6E6E7C"/>
          <w:sz w:val="21"/>
          <w:szCs w:val="21"/>
        </w:rPr>
      </w:pPr>
    </w:p>
    <w:p w14:paraId="4E989C3F" w14:textId="77777777" w:rsidR="006A74FA" w:rsidRDefault="006A74FA" w:rsidP="00932C6D">
      <w:pPr>
        <w:spacing w:after="200" w:line="276" w:lineRule="auto"/>
        <w:ind w:left="708"/>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 xml:space="preserve">Nota: </w:t>
      </w:r>
      <w:r w:rsidRPr="006C642C">
        <w:rPr>
          <w:rFonts w:ascii="Century Gothic" w:eastAsia="Calibri" w:hAnsi="Century Gothic" w:cs="Calibri"/>
          <w:iCs/>
          <w:color w:val="6E6E7C"/>
          <w:sz w:val="21"/>
          <w:szCs w:val="21"/>
        </w:rPr>
        <w:t xml:space="preserve">En el módulo del investigador y crítica se gestiona la sección del directorio de empresas, la cual determina el avance de cobertura </w:t>
      </w:r>
      <w:r>
        <w:rPr>
          <w:rFonts w:ascii="Century Gothic" w:eastAsia="Calibri" w:hAnsi="Century Gothic" w:cs="Calibri"/>
          <w:iCs/>
          <w:color w:val="6E6E7C"/>
          <w:sz w:val="21"/>
          <w:szCs w:val="21"/>
        </w:rPr>
        <w:t xml:space="preserve">de la encuesta </w:t>
      </w:r>
      <w:r w:rsidRPr="006C642C">
        <w:rPr>
          <w:rFonts w:ascii="Century Gothic" w:eastAsia="Calibri" w:hAnsi="Century Gothic" w:cs="Calibri"/>
          <w:iCs/>
          <w:color w:val="6E6E7C"/>
          <w:sz w:val="21"/>
          <w:szCs w:val="21"/>
        </w:rPr>
        <w:t>(diligenciamiento, levantamiento y crítica codificación).</w:t>
      </w:r>
    </w:p>
    <w:p w14:paraId="4FAEF72D" w14:textId="77777777" w:rsidR="006A74FA" w:rsidRPr="00582936" w:rsidRDefault="006A74FA" w:rsidP="006A74FA">
      <w:pPr>
        <w:spacing w:after="200" w:line="276" w:lineRule="auto"/>
        <w:ind w:left="720"/>
        <w:contextualSpacing/>
        <w:jc w:val="both"/>
        <w:rPr>
          <w:rFonts w:ascii="Century Gothic" w:eastAsia="Calibri" w:hAnsi="Century Gothic" w:cs="Calibri"/>
          <w:b/>
          <w:iCs/>
          <w:color w:val="6E6E7C"/>
          <w:sz w:val="21"/>
          <w:szCs w:val="21"/>
        </w:rPr>
      </w:pPr>
    </w:p>
    <w:p w14:paraId="064D4E78" w14:textId="77777777" w:rsidR="006A74FA" w:rsidRPr="00582936" w:rsidRDefault="006A74FA" w:rsidP="00E5524A">
      <w:pPr>
        <w:numPr>
          <w:ilvl w:val="0"/>
          <w:numId w:val="16"/>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 xml:space="preserve">Módulo de revisor de calidad: </w:t>
      </w:r>
      <w:r w:rsidRPr="00582936">
        <w:rPr>
          <w:rFonts w:ascii="Century Gothic" w:eastAsia="Calibri" w:hAnsi="Century Gothic" w:cs="Calibri"/>
          <w:iCs/>
          <w:color w:val="6E6E7C"/>
          <w:sz w:val="21"/>
          <w:szCs w:val="21"/>
        </w:rPr>
        <w:t xml:space="preserve">este módulo es gestionado desde las Coordinaciones Zonales y permite </w:t>
      </w:r>
      <w:r>
        <w:rPr>
          <w:rFonts w:ascii="Century Gothic" w:eastAsia="Calibri" w:hAnsi="Century Gothic" w:cs="Calibri"/>
          <w:iCs/>
          <w:color w:val="6E6E7C"/>
          <w:sz w:val="21"/>
          <w:szCs w:val="21"/>
        </w:rPr>
        <w:t xml:space="preserve">exclusivamente </w:t>
      </w:r>
      <w:r w:rsidRPr="00582936">
        <w:rPr>
          <w:rFonts w:ascii="Century Gothic" w:eastAsia="Calibri" w:hAnsi="Century Gothic" w:cs="Calibri"/>
          <w:iCs/>
          <w:color w:val="6E6E7C"/>
          <w:sz w:val="21"/>
          <w:szCs w:val="21"/>
        </w:rPr>
        <w:t>la visualización de la información criticada</w:t>
      </w:r>
      <w:r>
        <w:rPr>
          <w:rFonts w:ascii="Century Gothic" w:eastAsia="Calibri" w:hAnsi="Century Gothic" w:cs="Calibri"/>
          <w:iCs/>
          <w:color w:val="6E6E7C"/>
          <w:sz w:val="21"/>
          <w:szCs w:val="21"/>
        </w:rPr>
        <w:t>.</w:t>
      </w:r>
    </w:p>
    <w:p w14:paraId="5EC81241" w14:textId="77777777" w:rsidR="006A74FA" w:rsidRPr="00582936" w:rsidRDefault="006A74FA" w:rsidP="006A74FA">
      <w:pPr>
        <w:spacing w:line="276" w:lineRule="auto"/>
        <w:ind w:left="720"/>
        <w:contextualSpacing/>
        <w:jc w:val="both"/>
        <w:rPr>
          <w:rFonts w:ascii="Century Gothic" w:eastAsia="Calibri" w:hAnsi="Century Gothic" w:cs="Calibri"/>
          <w:b/>
          <w:iCs/>
          <w:color w:val="6E6E7C"/>
          <w:sz w:val="21"/>
          <w:szCs w:val="21"/>
        </w:rPr>
      </w:pPr>
    </w:p>
    <w:p w14:paraId="3C713E73" w14:textId="77777777" w:rsidR="006A74FA" w:rsidRPr="00582936" w:rsidRDefault="006A74FA" w:rsidP="00E5524A">
      <w:pPr>
        <w:numPr>
          <w:ilvl w:val="0"/>
          <w:numId w:val="16"/>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Módulo del administrador Zonal y de Administración Central:</w:t>
      </w:r>
      <w:r w:rsidRPr="00582936">
        <w:rPr>
          <w:rFonts w:ascii="Century Gothic" w:eastAsia="Calibri" w:hAnsi="Century Gothic" w:cs="Calibri"/>
          <w:iCs/>
          <w:color w:val="6E6E7C"/>
          <w:sz w:val="21"/>
          <w:szCs w:val="21"/>
        </w:rPr>
        <w:t xml:space="preserve"> el módulo de administrador permite generar reportes de la evolución y situación actual del levantamiento de información, así como, autoriza las modificaciones a la información sensible de las empresas. Ver el </w:t>
      </w:r>
      <w:r w:rsidRPr="00582936">
        <w:rPr>
          <w:rFonts w:ascii="Century Gothic" w:eastAsia="Calibri" w:hAnsi="Century Gothic" w:cs="Calibri"/>
          <w:b/>
          <w:iCs/>
          <w:color w:val="6E6E7C"/>
          <w:sz w:val="21"/>
          <w:szCs w:val="21"/>
        </w:rPr>
        <w:t>Anexo 2.</w:t>
      </w:r>
    </w:p>
    <w:p w14:paraId="5F759EC3" w14:textId="77777777" w:rsidR="006A74FA" w:rsidRPr="00582936" w:rsidRDefault="006A74FA" w:rsidP="006A74FA">
      <w:pPr>
        <w:autoSpaceDE w:val="0"/>
        <w:autoSpaceDN w:val="0"/>
        <w:adjustRightInd w:val="0"/>
        <w:spacing w:before="120" w:after="60" w:line="276" w:lineRule="auto"/>
        <w:contextualSpacing/>
        <w:jc w:val="both"/>
        <w:rPr>
          <w:rFonts w:ascii="Century Gothic" w:eastAsia="Calibri" w:hAnsi="Century Gothic" w:cs="Times New Roman"/>
          <w:b/>
          <w:iCs/>
          <w:color w:val="6E6E7C"/>
          <w:szCs w:val="21"/>
        </w:rPr>
      </w:pPr>
    </w:p>
    <w:p w14:paraId="3E5888A4" w14:textId="77777777" w:rsidR="00E2031C" w:rsidRPr="00E2031C" w:rsidRDefault="006A74FA" w:rsidP="00E2031C">
      <w:pPr>
        <w:spacing w:after="200" w:line="276" w:lineRule="auto"/>
        <w:jc w:val="both"/>
        <w:rPr>
          <w:rFonts w:ascii="Century Gothic" w:eastAsia="Dotum" w:hAnsi="Century Gothic" w:cs="Times New Roman"/>
          <w:b/>
          <w:bCs/>
          <w:iCs/>
          <w:color w:val="6E6E7C"/>
          <w:szCs w:val="21"/>
        </w:rPr>
      </w:pPr>
      <w:r w:rsidRPr="00E2031C">
        <w:rPr>
          <w:rFonts w:ascii="Century Gothic" w:eastAsia="Dotum" w:hAnsi="Century Gothic" w:cs="Times New Roman"/>
          <w:b/>
          <w:bCs/>
          <w:iCs/>
          <w:color w:val="6E6E7C"/>
          <w:szCs w:val="21"/>
        </w:rPr>
        <w:t>Manual del entrevistador – crítica y codificación</w:t>
      </w:r>
    </w:p>
    <w:p w14:paraId="657EC156"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E2031C">
        <w:rPr>
          <w:rFonts w:ascii="Century Gothic" w:eastAsia="Calibri" w:hAnsi="Century Gothic" w:cs="Calibri"/>
          <w:iCs/>
          <w:color w:val="6E6E7C"/>
          <w:sz w:val="21"/>
          <w:szCs w:val="21"/>
        </w:rPr>
        <w:t>El manual</w:t>
      </w:r>
      <w:r w:rsidRPr="00582936">
        <w:rPr>
          <w:rFonts w:ascii="Century Gothic" w:eastAsia="Calibri" w:hAnsi="Century Gothic" w:cs="Calibri"/>
          <w:iCs/>
          <w:color w:val="6E6E7C"/>
          <w:sz w:val="21"/>
          <w:szCs w:val="21"/>
        </w:rPr>
        <w:t xml:space="preserve"> del entrevistador, crítica y codificación es un instrumento guía que direcciona al investigador sobre la forma adecuada de captura de datos; el documento se encuentra estructurado por capítulos de acuerdo con el formulario de la ENESEM. </w:t>
      </w:r>
    </w:p>
    <w:p w14:paraId="4ACBDE34" w14:textId="77777777" w:rsidR="006A74FA" w:rsidRPr="00582936" w:rsidRDefault="006A74FA" w:rsidP="006A74FA">
      <w:pPr>
        <w:spacing w:after="200" w:line="276" w:lineRule="auto"/>
        <w:jc w:val="both"/>
        <w:rPr>
          <w:rFonts w:ascii="Century Gothic" w:eastAsia="Dotum" w:hAnsi="Century Gothic" w:cs="Times New Roman"/>
          <w:b/>
          <w:bCs/>
          <w:iCs/>
          <w:color w:val="6E6E7C"/>
          <w:sz w:val="21"/>
          <w:szCs w:val="21"/>
        </w:rPr>
      </w:pPr>
      <w:r w:rsidRPr="00582936">
        <w:rPr>
          <w:rFonts w:ascii="Century Gothic" w:eastAsia="Calibri" w:hAnsi="Century Gothic" w:cs="Calibri"/>
          <w:iCs/>
          <w:color w:val="6E6E7C"/>
          <w:sz w:val="21"/>
          <w:szCs w:val="21"/>
        </w:rPr>
        <w:t>El manual dispone de directrices para solventar inquietudes, así como también, constituye una pauta para el tratamiento de casos específicos, que se puedan presentar en el momento de levantamiento de la encuesta</w:t>
      </w:r>
      <w:r w:rsidR="00223921">
        <w:rPr>
          <w:rFonts w:ascii="Century Gothic" w:eastAsia="Calibri" w:hAnsi="Century Gothic" w:cs="Calibri"/>
          <w:iCs/>
          <w:color w:val="6E6E7C"/>
          <w:sz w:val="21"/>
          <w:szCs w:val="21"/>
        </w:rPr>
        <w:t xml:space="preserve"> (</w:t>
      </w:r>
      <w:r w:rsidR="00223921">
        <w:rPr>
          <w:rFonts w:ascii="Century Gothic" w:eastAsia="Dotum" w:hAnsi="Century Gothic" w:cs="Times New Roman"/>
          <w:bCs/>
          <w:iCs/>
          <w:color w:val="6E6E7C"/>
          <w:sz w:val="21"/>
          <w:szCs w:val="21"/>
        </w:rPr>
        <w:t>r</w:t>
      </w:r>
      <w:r w:rsidRPr="00582936">
        <w:rPr>
          <w:rFonts w:ascii="Century Gothic" w:eastAsia="Dotum" w:hAnsi="Century Gothic" w:cs="Times New Roman"/>
          <w:bCs/>
          <w:iCs/>
          <w:color w:val="6E6E7C"/>
          <w:sz w:val="21"/>
          <w:szCs w:val="21"/>
        </w:rPr>
        <w:t xml:space="preserve">evisar </w:t>
      </w:r>
      <w:r w:rsidRPr="00582936">
        <w:rPr>
          <w:rFonts w:ascii="Century Gothic" w:eastAsia="Dotum" w:hAnsi="Century Gothic" w:cs="Times New Roman"/>
          <w:b/>
          <w:bCs/>
          <w:iCs/>
          <w:color w:val="6E6E7C"/>
          <w:sz w:val="21"/>
          <w:szCs w:val="21"/>
        </w:rPr>
        <w:t>Anexo 3</w:t>
      </w:r>
      <w:r w:rsidR="00223921" w:rsidRPr="00223921">
        <w:rPr>
          <w:rFonts w:ascii="Century Gothic" w:eastAsia="Dotum" w:hAnsi="Century Gothic" w:cs="Times New Roman"/>
          <w:iCs/>
          <w:color w:val="6E6E7C"/>
          <w:sz w:val="21"/>
          <w:szCs w:val="21"/>
        </w:rPr>
        <w:t>)</w:t>
      </w:r>
      <w:r w:rsidRPr="00582936">
        <w:rPr>
          <w:rFonts w:ascii="Century Gothic" w:eastAsia="Dotum" w:hAnsi="Century Gothic" w:cs="Times New Roman"/>
          <w:b/>
          <w:bCs/>
          <w:iCs/>
          <w:color w:val="6E6E7C"/>
          <w:sz w:val="21"/>
          <w:szCs w:val="21"/>
        </w:rPr>
        <w:t>.</w:t>
      </w:r>
    </w:p>
    <w:p w14:paraId="0A184231" w14:textId="77777777" w:rsidR="006A74FA" w:rsidRPr="00582936" w:rsidRDefault="006A74FA" w:rsidP="006A74FA">
      <w:pPr>
        <w:spacing w:after="200" w:line="276" w:lineRule="auto"/>
        <w:jc w:val="both"/>
        <w:rPr>
          <w:rFonts w:ascii="Century Gothic" w:eastAsia="Dotum" w:hAnsi="Century Gothic" w:cs="Times New Roman"/>
          <w:b/>
          <w:bCs/>
          <w:iCs/>
          <w:color w:val="6E6E7C"/>
          <w:szCs w:val="21"/>
        </w:rPr>
      </w:pPr>
      <w:r w:rsidRPr="00582936">
        <w:rPr>
          <w:rFonts w:ascii="Century Gothic" w:eastAsia="Dotum" w:hAnsi="Century Gothic" w:cs="Times New Roman"/>
          <w:b/>
          <w:bCs/>
          <w:iCs/>
          <w:color w:val="6E6E7C"/>
          <w:szCs w:val="21"/>
        </w:rPr>
        <w:t>Hojas de seguimiento</w:t>
      </w:r>
    </w:p>
    <w:p w14:paraId="5FB00859" w14:textId="77777777" w:rsidR="006A74FA" w:rsidRPr="00582936" w:rsidRDefault="006A74FA" w:rsidP="006A74FA">
      <w:pPr>
        <w:spacing w:after="200" w:line="276" w:lineRule="auto"/>
        <w:jc w:val="both"/>
        <w:rPr>
          <w:rFonts w:ascii="Century Gothic" w:eastAsia="Dotum" w:hAnsi="Century Gothic" w:cs="Times New Roman"/>
          <w:b/>
          <w:bCs/>
          <w:iCs/>
          <w:color w:val="6E6E7C"/>
          <w:sz w:val="21"/>
          <w:szCs w:val="21"/>
        </w:rPr>
      </w:pPr>
      <w:r w:rsidRPr="00582936">
        <w:rPr>
          <w:rFonts w:ascii="Century Gothic" w:eastAsia="Dotum" w:hAnsi="Century Gothic" w:cs="Times New Roman"/>
          <w:bCs/>
          <w:iCs/>
          <w:color w:val="6E6E7C"/>
          <w:sz w:val="21"/>
          <w:szCs w:val="21"/>
        </w:rPr>
        <w:t xml:space="preserve">Son documentos que permiten registrar datos de identificación, novedades, información de ubicación de los informantes, teléfonos de contacto, </w:t>
      </w:r>
      <w:r>
        <w:rPr>
          <w:rFonts w:ascii="Century Gothic" w:eastAsia="Dotum" w:hAnsi="Century Gothic" w:cs="Times New Roman"/>
          <w:bCs/>
          <w:iCs/>
          <w:color w:val="6E6E7C"/>
          <w:sz w:val="21"/>
          <w:szCs w:val="21"/>
        </w:rPr>
        <w:t xml:space="preserve">número de </w:t>
      </w:r>
      <w:r w:rsidRPr="00582936">
        <w:rPr>
          <w:rFonts w:ascii="Century Gothic" w:eastAsia="Dotum" w:hAnsi="Century Gothic" w:cs="Times New Roman"/>
          <w:bCs/>
          <w:iCs/>
          <w:color w:val="6E6E7C"/>
          <w:sz w:val="21"/>
          <w:szCs w:val="21"/>
        </w:rPr>
        <w:t>visitas o reuniones programadas para el llenado de la encuesta, entre otro</w:t>
      </w:r>
      <w:r>
        <w:rPr>
          <w:rFonts w:ascii="Century Gothic" w:eastAsia="Dotum" w:hAnsi="Century Gothic" w:cs="Times New Roman"/>
          <w:bCs/>
          <w:iCs/>
          <w:color w:val="6E6E7C"/>
          <w:sz w:val="21"/>
          <w:szCs w:val="21"/>
        </w:rPr>
        <w:t>s</w:t>
      </w:r>
      <w:r w:rsidR="00E80B41">
        <w:rPr>
          <w:rFonts w:ascii="Century Gothic" w:eastAsia="Dotum" w:hAnsi="Century Gothic" w:cs="Times New Roman"/>
          <w:bCs/>
          <w:iCs/>
          <w:color w:val="6E6E7C"/>
          <w:sz w:val="21"/>
          <w:szCs w:val="21"/>
        </w:rPr>
        <w:t xml:space="preserve"> (r</w:t>
      </w:r>
      <w:r w:rsidRPr="00582936">
        <w:rPr>
          <w:rFonts w:ascii="Century Gothic" w:eastAsia="Dotum" w:hAnsi="Century Gothic" w:cs="Times New Roman"/>
          <w:bCs/>
          <w:iCs/>
          <w:color w:val="6E6E7C"/>
          <w:sz w:val="21"/>
          <w:szCs w:val="21"/>
        </w:rPr>
        <w:t xml:space="preserve">evisar </w:t>
      </w:r>
      <w:r w:rsidRPr="00582936">
        <w:rPr>
          <w:rFonts w:ascii="Century Gothic" w:eastAsia="Dotum" w:hAnsi="Century Gothic" w:cs="Times New Roman"/>
          <w:b/>
          <w:bCs/>
          <w:iCs/>
          <w:color w:val="6E6E7C"/>
          <w:sz w:val="21"/>
          <w:szCs w:val="21"/>
        </w:rPr>
        <w:t>Anexo 4</w:t>
      </w:r>
      <w:r w:rsidR="00E80B41" w:rsidRPr="00E80B41">
        <w:rPr>
          <w:rFonts w:ascii="Century Gothic" w:eastAsia="Dotum" w:hAnsi="Century Gothic" w:cs="Times New Roman"/>
          <w:iCs/>
          <w:color w:val="6E6E7C"/>
          <w:sz w:val="21"/>
          <w:szCs w:val="21"/>
        </w:rPr>
        <w:t>)</w:t>
      </w:r>
      <w:r w:rsidRPr="00582936">
        <w:rPr>
          <w:rFonts w:ascii="Century Gothic" w:eastAsia="Dotum" w:hAnsi="Century Gothic" w:cs="Times New Roman"/>
          <w:b/>
          <w:bCs/>
          <w:iCs/>
          <w:color w:val="6E6E7C"/>
          <w:sz w:val="21"/>
          <w:szCs w:val="21"/>
        </w:rPr>
        <w:t>.</w:t>
      </w:r>
    </w:p>
    <w:p w14:paraId="7F3D2129" w14:textId="77777777" w:rsidR="006A74FA" w:rsidRPr="00582936" w:rsidRDefault="006A74FA" w:rsidP="006A74FA">
      <w:pPr>
        <w:spacing w:after="200" w:line="276" w:lineRule="auto"/>
        <w:jc w:val="both"/>
        <w:rPr>
          <w:rFonts w:ascii="Century Gothic" w:eastAsia="Dotum" w:hAnsi="Century Gothic" w:cs="Times New Roman"/>
          <w:b/>
          <w:bCs/>
          <w:iCs/>
          <w:color w:val="6E6E7C"/>
          <w:szCs w:val="21"/>
        </w:rPr>
      </w:pPr>
      <w:r w:rsidRPr="00582936">
        <w:rPr>
          <w:rFonts w:ascii="Century Gothic" w:eastAsia="Dotum" w:hAnsi="Century Gothic" w:cs="Times New Roman"/>
          <w:b/>
          <w:bCs/>
          <w:iCs/>
          <w:color w:val="6E6E7C"/>
          <w:szCs w:val="21"/>
        </w:rPr>
        <w:t>Script de Encuestadores</w:t>
      </w:r>
    </w:p>
    <w:p w14:paraId="672E1223" w14:textId="77777777" w:rsidR="006A74FA" w:rsidRDefault="006A74FA" w:rsidP="006A74FA">
      <w:pPr>
        <w:spacing w:after="200" w:line="276" w:lineRule="auto"/>
        <w:jc w:val="both"/>
        <w:rPr>
          <w:rFonts w:ascii="Century Gothic" w:eastAsia="Dotum" w:hAnsi="Century Gothic" w:cs="Times New Roman"/>
          <w:b/>
          <w:bCs/>
          <w:iCs/>
          <w:color w:val="6E6E7C"/>
          <w:sz w:val="21"/>
          <w:szCs w:val="21"/>
        </w:rPr>
      </w:pPr>
      <w:r w:rsidRPr="00582936">
        <w:rPr>
          <w:rFonts w:ascii="Century Gothic" w:eastAsia="Dotum" w:hAnsi="Century Gothic" w:cs="Times New Roman"/>
          <w:bCs/>
          <w:iCs/>
          <w:color w:val="6E6E7C"/>
          <w:sz w:val="21"/>
          <w:szCs w:val="21"/>
        </w:rPr>
        <w:t>EL script cuenta con una introducción para la presentación del personal técnico de la institución, que explica el motivo del contacto con el informante y la relevancia de disponer de información estadística oportuna para el país; una vez aclaradas las dudas presentadas por el contacto de la empresa</w:t>
      </w:r>
      <w:r>
        <w:rPr>
          <w:rFonts w:ascii="Century Gothic" w:eastAsia="Dotum" w:hAnsi="Century Gothic" w:cs="Times New Roman"/>
          <w:bCs/>
          <w:iCs/>
          <w:color w:val="6E6E7C"/>
          <w:sz w:val="21"/>
          <w:szCs w:val="21"/>
        </w:rPr>
        <w:t>,</w:t>
      </w:r>
      <w:r w:rsidRPr="00582936">
        <w:rPr>
          <w:rFonts w:ascii="Century Gothic" w:eastAsia="Dotum" w:hAnsi="Century Gothic" w:cs="Times New Roman"/>
          <w:bCs/>
          <w:iCs/>
          <w:color w:val="6E6E7C"/>
          <w:sz w:val="21"/>
          <w:szCs w:val="21"/>
        </w:rPr>
        <w:t xml:space="preserve"> el objetivo del investigador es concretar una cita en la que se evidencia el asesoramiento técnico</w:t>
      </w:r>
      <w:r w:rsidR="00AE2DB1">
        <w:rPr>
          <w:rFonts w:ascii="Century Gothic" w:eastAsia="Dotum" w:hAnsi="Century Gothic" w:cs="Times New Roman"/>
          <w:bCs/>
          <w:iCs/>
          <w:color w:val="6E6E7C"/>
          <w:sz w:val="21"/>
          <w:szCs w:val="21"/>
        </w:rPr>
        <w:t xml:space="preserve"> (r</w:t>
      </w:r>
      <w:r w:rsidRPr="00582936">
        <w:rPr>
          <w:rFonts w:ascii="Century Gothic" w:eastAsia="Dotum" w:hAnsi="Century Gothic" w:cs="Times New Roman"/>
          <w:bCs/>
          <w:iCs/>
          <w:color w:val="6E6E7C"/>
          <w:sz w:val="21"/>
          <w:szCs w:val="21"/>
        </w:rPr>
        <w:t xml:space="preserve">evisar </w:t>
      </w:r>
      <w:r w:rsidRPr="00582936">
        <w:rPr>
          <w:rFonts w:ascii="Century Gothic" w:eastAsia="Dotum" w:hAnsi="Century Gothic" w:cs="Times New Roman"/>
          <w:b/>
          <w:bCs/>
          <w:iCs/>
          <w:color w:val="6E6E7C"/>
          <w:sz w:val="21"/>
          <w:szCs w:val="21"/>
        </w:rPr>
        <w:t>Anexo 5</w:t>
      </w:r>
      <w:r w:rsidR="00AE2DB1" w:rsidRPr="00AE2DB1">
        <w:rPr>
          <w:rFonts w:ascii="Century Gothic" w:eastAsia="Dotum" w:hAnsi="Century Gothic" w:cs="Times New Roman"/>
          <w:iCs/>
          <w:color w:val="6E6E7C"/>
          <w:sz w:val="21"/>
          <w:szCs w:val="21"/>
        </w:rPr>
        <w:t>)</w:t>
      </w:r>
      <w:r w:rsidRPr="00AE2DB1">
        <w:rPr>
          <w:rFonts w:ascii="Century Gothic" w:eastAsia="Dotum" w:hAnsi="Century Gothic" w:cs="Times New Roman"/>
          <w:iCs/>
          <w:color w:val="6E6E7C"/>
          <w:sz w:val="21"/>
          <w:szCs w:val="21"/>
        </w:rPr>
        <w:t>.</w:t>
      </w:r>
    </w:p>
    <w:p w14:paraId="6D7AA673" w14:textId="77777777" w:rsidR="006A74FA" w:rsidRPr="00582936" w:rsidRDefault="006A74FA" w:rsidP="006A74FA">
      <w:pPr>
        <w:spacing w:after="200" w:line="276" w:lineRule="auto"/>
        <w:jc w:val="both"/>
        <w:rPr>
          <w:rFonts w:ascii="Century Gothic" w:eastAsia="Dotum" w:hAnsi="Century Gothic" w:cs="Times New Roman"/>
          <w:b/>
          <w:bCs/>
          <w:iCs/>
          <w:color w:val="6E6E7C"/>
          <w:szCs w:val="21"/>
        </w:rPr>
      </w:pPr>
      <w:r w:rsidRPr="00582936">
        <w:rPr>
          <w:rFonts w:ascii="Century Gothic" w:eastAsia="Dotum" w:hAnsi="Century Gothic" w:cs="Times New Roman"/>
          <w:b/>
          <w:bCs/>
          <w:iCs/>
          <w:color w:val="6E6E7C"/>
          <w:szCs w:val="21"/>
        </w:rPr>
        <w:t>Oficio ENESEM</w:t>
      </w:r>
    </w:p>
    <w:p w14:paraId="15506C89" w14:textId="77777777" w:rsidR="006A74FA" w:rsidRPr="00582936" w:rsidRDefault="006A74FA" w:rsidP="006A74FA">
      <w:pPr>
        <w:spacing w:after="200" w:line="276" w:lineRule="auto"/>
        <w:jc w:val="both"/>
        <w:rPr>
          <w:rFonts w:ascii="Century Gothic" w:eastAsia="Dotum" w:hAnsi="Century Gothic" w:cs="Times New Roman"/>
          <w:bCs/>
          <w:iCs/>
          <w:color w:val="6E6E7C"/>
          <w:sz w:val="21"/>
          <w:szCs w:val="21"/>
        </w:rPr>
      </w:pPr>
      <w:r w:rsidRPr="00582936">
        <w:rPr>
          <w:rFonts w:ascii="Century Gothic" w:eastAsia="Dotum" w:hAnsi="Century Gothic" w:cs="Times New Roman"/>
          <w:bCs/>
          <w:iCs/>
          <w:color w:val="6E6E7C"/>
          <w:sz w:val="21"/>
          <w:szCs w:val="21"/>
        </w:rPr>
        <w:t>El oficio permite el acercamiento formal de los investigadores con el informante de la empresa en cada una de las Coordinadores Zonales</w:t>
      </w:r>
      <w:r>
        <w:rPr>
          <w:rFonts w:ascii="Century Gothic" w:eastAsia="Dotum" w:hAnsi="Century Gothic" w:cs="Times New Roman"/>
          <w:bCs/>
          <w:iCs/>
          <w:color w:val="6E6E7C"/>
          <w:sz w:val="21"/>
          <w:szCs w:val="21"/>
        </w:rPr>
        <w:t>;</w:t>
      </w:r>
      <w:r w:rsidRPr="00582936">
        <w:rPr>
          <w:rFonts w:ascii="Century Gothic" w:eastAsia="Dotum" w:hAnsi="Century Gothic" w:cs="Times New Roman"/>
          <w:bCs/>
          <w:iCs/>
          <w:color w:val="6E6E7C"/>
          <w:sz w:val="21"/>
          <w:szCs w:val="21"/>
        </w:rPr>
        <w:t xml:space="preserve"> en este documento se comunica el objetivo de la encuesta y la importancia de la información estadística </w:t>
      </w:r>
      <w:r w:rsidRPr="00582936">
        <w:rPr>
          <w:rFonts w:ascii="Century Gothic" w:eastAsia="Dotum" w:hAnsi="Century Gothic" w:cs="Times New Roman"/>
          <w:bCs/>
          <w:iCs/>
          <w:color w:val="6E6E7C"/>
          <w:sz w:val="21"/>
          <w:szCs w:val="21"/>
        </w:rPr>
        <w:lastRenderedPageBreak/>
        <w:t>económica empresarial de los sectores de Manufactura, Minería, Construcción, Comercio, Servicios</w:t>
      </w:r>
      <w:r>
        <w:rPr>
          <w:rFonts w:ascii="Century Gothic" w:eastAsia="Dotum" w:hAnsi="Century Gothic" w:cs="Times New Roman"/>
          <w:bCs/>
          <w:iCs/>
          <w:color w:val="6E6E7C"/>
          <w:sz w:val="21"/>
          <w:szCs w:val="21"/>
        </w:rPr>
        <w:t>.</w:t>
      </w:r>
    </w:p>
    <w:p w14:paraId="496086D5" w14:textId="77777777" w:rsidR="006A74FA" w:rsidRPr="00582936" w:rsidRDefault="006A74FA" w:rsidP="006A74FA">
      <w:pPr>
        <w:spacing w:after="200" w:line="276" w:lineRule="auto"/>
        <w:jc w:val="both"/>
        <w:rPr>
          <w:rFonts w:ascii="Century Gothic" w:eastAsia="Dotum" w:hAnsi="Century Gothic" w:cs="Times New Roman"/>
          <w:b/>
          <w:bCs/>
          <w:iCs/>
          <w:color w:val="6E6E7C"/>
          <w:sz w:val="21"/>
          <w:szCs w:val="21"/>
        </w:rPr>
      </w:pPr>
      <w:r w:rsidRPr="00582936">
        <w:rPr>
          <w:rFonts w:ascii="Century Gothic" w:eastAsia="Dotum" w:hAnsi="Century Gothic" w:cs="Times New Roman"/>
          <w:bCs/>
          <w:iCs/>
          <w:color w:val="6E6E7C"/>
          <w:sz w:val="21"/>
          <w:szCs w:val="21"/>
        </w:rPr>
        <w:t>Así mismo, se pone en conocimiento del informante las disposiciones de la Ley de Estadística, que respalda a la institución para solicitar la información; aclara también que, como establece la Ley, la data tiene el carácter confidencial y será utilizada con fines estadísticos. Cabe mencionar que</w:t>
      </w:r>
      <w:r>
        <w:rPr>
          <w:rFonts w:ascii="Century Gothic" w:eastAsia="Dotum" w:hAnsi="Century Gothic" w:cs="Times New Roman"/>
          <w:bCs/>
          <w:iCs/>
          <w:color w:val="6E6E7C"/>
          <w:sz w:val="21"/>
          <w:szCs w:val="21"/>
        </w:rPr>
        <w:t>,</w:t>
      </w:r>
      <w:r w:rsidRPr="00582936">
        <w:rPr>
          <w:rFonts w:ascii="Century Gothic" w:eastAsia="Dotum" w:hAnsi="Century Gothic" w:cs="Times New Roman"/>
          <w:bCs/>
          <w:iCs/>
          <w:color w:val="6E6E7C"/>
          <w:sz w:val="21"/>
          <w:szCs w:val="21"/>
        </w:rPr>
        <w:t xml:space="preserve"> este documento se elabora en conjunto con la Dirección de Comunicación Social (DICOS) del INEC. El envío de este documento se realiza a través de correos electrónicos y mediante el Sistema de Gestión Documental - </w:t>
      </w:r>
      <w:proofErr w:type="spellStart"/>
      <w:r w:rsidRPr="00582936">
        <w:rPr>
          <w:rFonts w:ascii="Century Gothic" w:eastAsia="Dotum" w:hAnsi="Century Gothic" w:cs="Times New Roman"/>
          <w:bCs/>
          <w:iCs/>
          <w:color w:val="6E6E7C"/>
          <w:sz w:val="21"/>
          <w:szCs w:val="21"/>
        </w:rPr>
        <w:t>Quipux</w:t>
      </w:r>
      <w:proofErr w:type="spellEnd"/>
      <w:r w:rsidRPr="00582936">
        <w:rPr>
          <w:rFonts w:ascii="Century Gothic" w:eastAsia="Dotum" w:hAnsi="Century Gothic" w:cs="Times New Roman"/>
          <w:bCs/>
          <w:iCs/>
          <w:color w:val="6E6E7C"/>
          <w:sz w:val="21"/>
          <w:szCs w:val="21"/>
        </w:rPr>
        <w:t xml:space="preserve">. Para mayor detalle revisar </w:t>
      </w:r>
      <w:r w:rsidRPr="00582936">
        <w:rPr>
          <w:rFonts w:ascii="Century Gothic" w:eastAsia="Dotum" w:hAnsi="Century Gothic" w:cs="Times New Roman"/>
          <w:b/>
          <w:bCs/>
          <w:iCs/>
          <w:color w:val="6E6E7C"/>
          <w:sz w:val="21"/>
          <w:szCs w:val="21"/>
        </w:rPr>
        <w:t>Anexo 6.</w:t>
      </w:r>
    </w:p>
    <w:p w14:paraId="172162A9" w14:textId="77777777" w:rsidR="006A74FA" w:rsidRPr="00582936" w:rsidRDefault="006A74FA" w:rsidP="006A74FA">
      <w:pPr>
        <w:spacing w:after="200" w:line="276" w:lineRule="auto"/>
        <w:jc w:val="both"/>
        <w:rPr>
          <w:rFonts w:ascii="Century Gothic" w:eastAsia="Dotum" w:hAnsi="Century Gothic" w:cs="Times New Roman"/>
          <w:bCs/>
          <w:iCs/>
          <w:color w:val="6E6E7C"/>
          <w:szCs w:val="21"/>
        </w:rPr>
      </w:pPr>
      <w:r w:rsidRPr="00582936">
        <w:rPr>
          <w:rFonts w:ascii="Century Gothic" w:eastAsia="Dotum" w:hAnsi="Century Gothic" w:cs="Times New Roman"/>
          <w:b/>
          <w:bCs/>
          <w:iCs/>
          <w:color w:val="6E6E7C"/>
          <w:szCs w:val="21"/>
        </w:rPr>
        <w:t>Instructivo de seguridad y resguardo de la información</w:t>
      </w:r>
    </w:p>
    <w:p w14:paraId="76D2B998" w14:textId="77777777" w:rsidR="006A74FA" w:rsidRPr="00582936" w:rsidRDefault="006A74FA" w:rsidP="006A74FA">
      <w:pPr>
        <w:spacing w:after="200" w:line="276" w:lineRule="auto"/>
        <w:jc w:val="both"/>
        <w:rPr>
          <w:rFonts w:ascii="Century Gothic" w:eastAsia="Dotum" w:hAnsi="Century Gothic" w:cs="Times New Roman"/>
          <w:bCs/>
          <w:iCs/>
          <w:color w:val="6E6E7C"/>
          <w:sz w:val="21"/>
          <w:szCs w:val="21"/>
        </w:rPr>
      </w:pPr>
      <w:r w:rsidRPr="00582936">
        <w:rPr>
          <w:rFonts w:ascii="Century Gothic" w:eastAsia="Dotum" w:hAnsi="Century Gothic" w:cs="Times New Roman"/>
          <w:bCs/>
          <w:iCs/>
          <w:color w:val="6E6E7C"/>
          <w:sz w:val="21"/>
          <w:szCs w:val="21"/>
        </w:rPr>
        <w:t xml:space="preserve">El instructivo describe los artículos específicos de la Ley de Estadística, en la que establece la obligatoriedad, confidencialidad y sanciones que se pudieran establecer, en caso de no proporcionar la información requerida. Así como, el acuerdo </w:t>
      </w:r>
      <w:r>
        <w:rPr>
          <w:rFonts w:ascii="Century Gothic" w:eastAsia="Dotum" w:hAnsi="Century Gothic" w:cs="Times New Roman"/>
          <w:bCs/>
          <w:iCs/>
          <w:color w:val="6E6E7C"/>
          <w:sz w:val="21"/>
          <w:szCs w:val="21"/>
        </w:rPr>
        <w:t>suscrito</w:t>
      </w:r>
      <w:r w:rsidRPr="00582936">
        <w:rPr>
          <w:rFonts w:ascii="Century Gothic" w:eastAsia="Dotum" w:hAnsi="Century Gothic" w:cs="Times New Roman"/>
          <w:bCs/>
          <w:iCs/>
          <w:color w:val="6E6E7C"/>
          <w:sz w:val="21"/>
          <w:szCs w:val="21"/>
        </w:rPr>
        <w:t xml:space="preserve"> por cada uno de los funcionario</w:t>
      </w:r>
      <w:r>
        <w:rPr>
          <w:rFonts w:ascii="Century Gothic" w:eastAsia="Dotum" w:hAnsi="Century Gothic" w:cs="Times New Roman"/>
          <w:bCs/>
          <w:iCs/>
          <w:color w:val="6E6E7C"/>
          <w:sz w:val="21"/>
          <w:szCs w:val="21"/>
        </w:rPr>
        <w:t>s</w:t>
      </w:r>
      <w:r w:rsidRPr="00582936">
        <w:rPr>
          <w:rFonts w:ascii="Century Gothic" w:eastAsia="Dotum" w:hAnsi="Century Gothic" w:cs="Times New Roman"/>
          <w:bCs/>
          <w:iCs/>
          <w:color w:val="6E6E7C"/>
          <w:sz w:val="21"/>
          <w:szCs w:val="21"/>
        </w:rPr>
        <w:t xml:space="preserve"> del INEC para resguarda</w:t>
      </w:r>
      <w:r>
        <w:rPr>
          <w:rFonts w:ascii="Century Gothic" w:eastAsia="Dotum" w:hAnsi="Century Gothic" w:cs="Times New Roman"/>
          <w:bCs/>
          <w:iCs/>
          <w:color w:val="6E6E7C"/>
          <w:sz w:val="21"/>
          <w:szCs w:val="21"/>
        </w:rPr>
        <w:t>r</w:t>
      </w:r>
      <w:r w:rsidRPr="00582936">
        <w:rPr>
          <w:rFonts w:ascii="Century Gothic" w:eastAsia="Dotum" w:hAnsi="Century Gothic" w:cs="Times New Roman"/>
          <w:bCs/>
          <w:iCs/>
          <w:color w:val="6E6E7C"/>
          <w:sz w:val="21"/>
          <w:szCs w:val="21"/>
        </w:rPr>
        <w:t xml:space="preserve"> la confidencialidad estadística y el buen uso de la información; donde, los encuestadores deberá</w:t>
      </w:r>
      <w:r>
        <w:rPr>
          <w:rFonts w:ascii="Century Gothic" w:eastAsia="Dotum" w:hAnsi="Century Gothic" w:cs="Times New Roman"/>
          <w:bCs/>
          <w:iCs/>
          <w:color w:val="6E6E7C"/>
          <w:sz w:val="21"/>
          <w:szCs w:val="21"/>
        </w:rPr>
        <w:t>n</w:t>
      </w:r>
      <w:r w:rsidRPr="00582936">
        <w:rPr>
          <w:rFonts w:ascii="Century Gothic" w:eastAsia="Dotum" w:hAnsi="Century Gothic" w:cs="Times New Roman"/>
          <w:bCs/>
          <w:iCs/>
          <w:color w:val="6E6E7C"/>
          <w:sz w:val="21"/>
          <w:szCs w:val="21"/>
        </w:rPr>
        <w:t xml:space="preserve"> </w:t>
      </w:r>
      <w:r>
        <w:rPr>
          <w:rFonts w:ascii="Century Gothic" w:eastAsia="Dotum" w:hAnsi="Century Gothic" w:cs="Times New Roman"/>
          <w:bCs/>
          <w:iCs/>
          <w:color w:val="6E6E7C"/>
          <w:sz w:val="21"/>
          <w:szCs w:val="21"/>
        </w:rPr>
        <w:t>brindar</w:t>
      </w:r>
      <w:r w:rsidRPr="00582936">
        <w:rPr>
          <w:rFonts w:ascii="Century Gothic" w:eastAsia="Dotum" w:hAnsi="Century Gothic" w:cs="Times New Roman"/>
          <w:bCs/>
          <w:iCs/>
          <w:color w:val="6E6E7C"/>
          <w:sz w:val="21"/>
          <w:szCs w:val="21"/>
        </w:rPr>
        <w:t xml:space="preserve"> acompañamiento en el llenado de la encuesta, más no, disponer de </w:t>
      </w:r>
      <w:r>
        <w:rPr>
          <w:rFonts w:ascii="Century Gothic" w:eastAsia="Dotum" w:hAnsi="Century Gothic" w:cs="Times New Roman"/>
          <w:bCs/>
          <w:iCs/>
          <w:color w:val="6E6E7C"/>
          <w:sz w:val="21"/>
          <w:szCs w:val="21"/>
        </w:rPr>
        <w:t>la</w:t>
      </w:r>
      <w:r w:rsidRPr="00582936">
        <w:rPr>
          <w:rFonts w:ascii="Century Gothic" w:eastAsia="Dotum" w:hAnsi="Century Gothic" w:cs="Times New Roman"/>
          <w:bCs/>
          <w:iCs/>
          <w:color w:val="6E6E7C"/>
          <w:sz w:val="21"/>
          <w:szCs w:val="21"/>
        </w:rPr>
        <w:t xml:space="preserve"> clave</w:t>
      </w:r>
      <w:r>
        <w:rPr>
          <w:rFonts w:ascii="Century Gothic" w:eastAsia="Dotum" w:hAnsi="Century Gothic" w:cs="Times New Roman"/>
          <w:bCs/>
          <w:iCs/>
          <w:color w:val="6E6E7C"/>
          <w:sz w:val="21"/>
          <w:szCs w:val="21"/>
        </w:rPr>
        <w:t xml:space="preserve"> de acceso del informante</w:t>
      </w:r>
      <w:r w:rsidRPr="00582936">
        <w:rPr>
          <w:rFonts w:ascii="Century Gothic" w:eastAsia="Dotum" w:hAnsi="Century Gothic" w:cs="Times New Roman"/>
          <w:bCs/>
          <w:iCs/>
          <w:color w:val="6E6E7C"/>
          <w:sz w:val="21"/>
          <w:szCs w:val="21"/>
        </w:rPr>
        <w:t xml:space="preserve"> y llenar por su cuenta la información en el sistema </w:t>
      </w:r>
      <w:r>
        <w:rPr>
          <w:rFonts w:ascii="Century Gothic" w:eastAsia="Dotum" w:hAnsi="Century Gothic" w:cs="Times New Roman"/>
          <w:bCs/>
          <w:iCs/>
          <w:color w:val="6E6E7C"/>
          <w:sz w:val="21"/>
          <w:szCs w:val="21"/>
        </w:rPr>
        <w:t>de recolección</w:t>
      </w:r>
      <w:r w:rsidR="00DF0E6F">
        <w:rPr>
          <w:rFonts w:ascii="Century Gothic" w:eastAsia="Dotum" w:hAnsi="Century Gothic" w:cs="Times New Roman"/>
          <w:bCs/>
          <w:iCs/>
          <w:color w:val="6E6E7C"/>
          <w:sz w:val="21"/>
          <w:szCs w:val="21"/>
        </w:rPr>
        <w:t xml:space="preserve"> (revisar </w:t>
      </w:r>
      <w:r w:rsidRPr="00582936">
        <w:rPr>
          <w:rFonts w:ascii="Century Gothic" w:eastAsia="Dotum" w:hAnsi="Century Gothic" w:cs="Times New Roman"/>
          <w:b/>
          <w:bCs/>
          <w:iCs/>
          <w:color w:val="6E6E7C"/>
          <w:sz w:val="21"/>
          <w:szCs w:val="21"/>
        </w:rPr>
        <w:t>Anexo 7</w:t>
      </w:r>
      <w:r w:rsidR="00DF0E6F" w:rsidRPr="00DF0E6F">
        <w:rPr>
          <w:rFonts w:ascii="Century Gothic" w:eastAsia="Dotum" w:hAnsi="Century Gothic" w:cs="Times New Roman"/>
          <w:iCs/>
          <w:color w:val="6E6E7C"/>
          <w:sz w:val="21"/>
          <w:szCs w:val="21"/>
        </w:rPr>
        <w:t>)</w:t>
      </w:r>
      <w:r w:rsidRPr="00582936">
        <w:rPr>
          <w:rFonts w:ascii="Century Gothic" w:eastAsia="Dotum" w:hAnsi="Century Gothic" w:cs="Times New Roman"/>
          <w:bCs/>
          <w:iCs/>
          <w:color w:val="6E6E7C"/>
          <w:sz w:val="21"/>
          <w:szCs w:val="21"/>
        </w:rPr>
        <w:t>.</w:t>
      </w:r>
    </w:p>
    <w:p w14:paraId="0D26F202" w14:textId="77777777" w:rsidR="006A74FA" w:rsidRPr="00582936" w:rsidRDefault="006A74FA" w:rsidP="006A74FA">
      <w:pPr>
        <w:rPr>
          <w:rFonts w:ascii="Century Gothic" w:eastAsia="Dotum" w:hAnsi="Century Gothic" w:cs="Times New Roman"/>
          <w:b/>
          <w:bCs/>
          <w:iCs/>
          <w:color w:val="6E6E7C"/>
          <w:szCs w:val="21"/>
        </w:rPr>
      </w:pPr>
      <w:r w:rsidRPr="00582936">
        <w:rPr>
          <w:rFonts w:ascii="Century Gothic" w:eastAsia="Dotum" w:hAnsi="Century Gothic" w:cs="Times New Roman"/>
          <w:b/>
          <w:bCs/>
          <w:iCs/>
          <w:color w:val="6E6E7C"/>
          <w:szCs w:val="21"/>
        </w:rPr>
        <w:t>Justificación de llenado en papel y presencial de la Encuesta</w:t>
      </w:r>
    </w:p>
    <w:p w14:paraId="2A1EFEE2" w14:textId="77777777" w:rsidR="006A74FA" w:rsidRPr="00582936" w:rsidRDefault="006A74FA" w:rsidP="006A74FA">
      <w:pPr>
        <w:rPr>
          <w:rFonts w:ascii="Century Gothic" w:eastAsia="Dotum" w:hAnsi="Century Gothic" w:cs="Times New Roman"/>
          <w:b/>
          <w:bCs/>
          <w:iCs/>
          <w:color w:val="6E6E7C"/>
          <w:szCs w:val="21"/>
        </w:rPr>
      </w:pPr>
    </w:p>
    <w:p w14:paraId="0224FADF" w14:textId="77777777" w:rsidR="006A74FA" w:rsidRDefault="006A74FA" w:rsidP="006A74FA">
      <w:pPr>
        <w:spacing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iCs/>
          <w:color w:val="6E6E7C"/>
          <w:sz w:val="21"/>
          <w:szCs w:val="21"/>
        </w:rPr>
        <w:t>Son documento</w:t>
      </w:r>
      <w:r>
        <w:rPr>
          <w:rFonts w:ascii="Century Gothic" w:eastAsia="Calibri" w:hAnsi="Century Gothic" w:cs="Calibri"/>
          <w:iCs/>
          <w:color w:val="6E6E7C"/>
          <w:sz w:val="21"/>
          <w:szCs w:val="21"/>
        </w:rPr>
        <w:t>s</w:t>
      </w:r>
      <w:r w:rsidRPr="00582936">
        <w:rPr>
          <w:rFonts w:ascii="Century Gothic" w:eastAsia="Calibri" w:hAnsi="Century Gothic" w:cs="Calibri"/>
          <w:iCs/>
          <w:color w:val="6E6E7C"/>
          <w:sz w:val="21"/>
          <w:szCs w:val="21"/>
        </w:rPr>
        <w:t xml:space="preserve"> que permiten el registro de casos excepcionales en los que la información de las empresas debe ser gestionada presencialmente, ya que la encuesta prioriza el uso de medios telemáticos, para precautelar la integridad de los informantes y encuestadores.</w:t>
      </w:r>
      <w:r w:rsidR="006B145B">
        <w:rPr>
          <w:rFonts w:ascii="Century Gothic" w:eastAsia="Calibri" w:hAnsi="Century Gothic" w:cs="Calibri"/>
          <w:iCs/>
          <w:color w:val="6E6E7C"/>
          <w:sz w:val="21"/>
          <w:szCs w:val="21"/>
        </w:rPr>
        <w:t xml:space="preserve"> </w:t>
      </w:r>
      <w:r w:rsidRPr="00582936">
        <w:rPr>
          <w:rFonts w:ascii="Century Gothic" w:eastAsia="Calibri" w:hAnsi="Century Gothic" w:cs="Calibri"/>
          <w:iCs/>
          <w:color w:val="6E6E7C"/>
          <w:sz w:val="21"/>
          <w:szCs w:val="21"/>
        </w:rPr>
        <w:t xml:space="preserve">Así también, se dispone del formulario de justificación de llenado en papel, considerando que la encuesta es diligenciada mediante un aplicativo informático </w:t>
      </w:r>
      <w:r w:rsidR="006B145B">
        <w:rPr>
          <w:rFonts w:ascii="Century Gothic" w:eastAsia="Calibri" w:hAnsi="Century Gothic" w:cs="Calibri"/>
          <w:iCs/>
          <w:color w:val="6E6E7C"/>
          <w:sz w:val="21"/>
          <w:szCs w:val="21"/>
        </w:rPr>
        <w:t xml:space="preserve">(revisar </w:t>
      </w:r>
      <w:r w:rsidRPr="00582936">
        <w:rPr>
          <w:rFonts w:ascii="Century Gothic" w:eastAsia="Calibri" w:hAnsi="Century Gothic" w:cs="Calibri"/>
          <w:b/>
          <w:iCs/>
          <w:color w:val="6E6E7C"/>
          <w:sz w:val="21"/>
          <w:szCs w:val="21"/>
        </w:rPr>
        <w:t>Anexo 8</w:t>
      </w:r>
      <w:r w:rsidR="006B145B" w:rsidRPr="006B145B">
        <w:rPr>
          <w:rFonts w:ascii="Century Gothic" w:eastAsia="Calibri" w:hAnsi="Century Gothic" w:cs="Calibri"/>
          <w:bCs/>
          <w:iCs/>
          <w:color w:val="6E6E7C"/>
          <w:sz w:val="21"/>
          <w:szCs w:val="21"/>
        </w:rPr>
        <w:t>)</w:t>
      </w:r>
      <w:r w:rsidRPr="00582936">
        <w:rPr>
          <w:rFonts w:ascii="Century Gothic" w:eastAsia="Calibri" w:hAnsi="Century Gothic" w:cs="Calibri"/>
          <w:b/>
          <w:iCs/>
          <w:color w:val="6E6E7C"/>
          <w:sz w:val="21"/>
          <w:szCs w:val="21"/>
        </w:rPr>
        <w:t>.</w:t>
      </w:r>
    </w:p>
    <w:p w14:paraId="5FB8FD86" w14:textId="77777777" w:rsidR="006E10E6" w:rsidRDefault="006E10E6" w:rsidP="006A74FA">
      <w:pPr>
        <w:spacing w:line="276" w:lineRule="auto"/>
        <w:contextualSpacing/>
        <w:jc w:val="both"/>
        <w:rPr>
          <w:rFonts w:ascii="Century Gothic" w:eastAsia="Calibri" w:hAnsi="Century Gothic" w:cs="Calibri"/>
          <w:b/>
          <w:iCs/>
          <w:color w:val="6E6E7C"/>
          <w:sz w:val="21"/>
          <w:szCs w:val="21"/>
        </w:rPr>
      </w:pPr>
    </w:p>
    <w:p w14:paraId="56E2E695" w14:textId="77777777" w:rsidR="006E10E6" w:rsidRPr="00582936" w:rsidRDefault="006E10E6" w:rsidP="006E10E6">
      <w:pPr>
        <w:rPr>
          <w:rFonts w:ascii="Century Gothic" w:eastAsia="Dotum" w:hAnsi="Century Gothic" w:cs="Times New Roman"/>
          <w:b/>
          <w:bCs/>
          <w:iCs/>
          <w:color w:val="6E6E7C"/>
          <w:szCs w:val="21"/>
        </w:rPr>
      </w:pPr>
      <w:r w:rsidRPr="00582936">
        <w:rPr>
          <w:rFonts w:ascii="Century Gothic" w:eastAsia="Dotum" w:hAnsi="Century Gothic" w:cs="Times New Roman"/>
          <w:b/>
          <w:bCs/>
          <w:iCs/>
          <w:color w:val="6E6E7C"/>
          <w:szCs w:val="21"/>
        </w:rPr>
        <w:t>Justifica</w:t>
      </w:r>
      <w:r>
        <w:rPr>
          <w:rFonts w:ascii="Century Gothic" w:eastAsia="Dotum" w:hAnsi="Century Gothic" w:cs="Times New Roman"/>
          <w:b/>
          <w:bCs/>
          <w:iCs/>
          <w:color w:val="6E6E7C"/>
          <w:szCs w:val="21"/>
        </w:rPr>
        <w:t>tivo de uso de credenciales</w:t>
      </w:r>
    </w:p>
    <w:p w14:paraId="59B4B7FF" w14:textId="77777777" w:rsidR="006E10E6" w:rsidRDefault="006E10E6" w:rsidP="006E10E6">
      <w:pPr>
        <w:spacing w:line="276" w:lineRule="auto"/>
        <w:contextualSpacing/>
        <w:jc w:val="both"/>
        <w:rPr>
          <w:rFonts w:ascii="Century Gothic" w:eastAsia="Calibri" w:hAnsi="Century Gothic" w:cs="Calibri"/>
          <w:iCs/>
          <w:color w:val="6E6E7C"/>
          <w:sz w:val="21"/>
          <w:szCs w:val="21"/>
        </w:rPr>
      </w:pPr>
    </w:p>
    <w:p w14:paraId="050391A0" w14:textId="77777777" w:rsidR="006E10E6" w:rsidRDefault="006E10E6" w:rsidP="006E10E6">
      <w:pPr>
        <w:spacing w:line="276" w:lineRule="auto"/>
        <w:contextualSpacing/>
        <w:jc w:val="both"/>
        <w:rPr>
          <w:rFonts w:ascii="Century Gothic" w:eastAsia="Calibri" w:hAnsi="Century Gothic" w:cs="Calibri"/>
          <w:b/>
          <w:iCs/>
          <w:color w:val="6E6E7C"/>
          <w:sz w:val="21"/>
          <w:szCs w:val="21"/>
        </w:rPr>
      </w:pPr>
      <w:r>
        <w:rPr>
          <w:rFonts w:ascii="Century Gothic" w:eastAsia="Calibri" w:hAnsi="Century Gothic" w:cs="Calibri"/>
          <w:iCs/>
          <w:color w:val="6E6E7C"/>
          <w:sz w:val="21"/>
          <w:szCs w:val="21"/>
        </w:rPr>
        <w:t xml:space="preserve">Es un formulario que permite </w:t>
      </w:r>
      <w:r w:rsidRPr="00D0786A">
        <w:rPr>
          <w:rFonts w:ascii="Century Gothic" w:eastAsia="Calibri" w:hAnsi="Century Gothic" w:cs="Calibri"/>
          <w:iCs/>
          <w:color w:val="6E6E7C"/>
          <w:sz w:val="21"/>
          <w:szCs w:val="21"/>
        </w:rPr>
        <w:t xml:space="preserve">describir y justificar el uso de las credenciales de acceso al sistema del informante por parte del encuestador. </w:t>
      </w:r>
      <w:r>
        <w:rPr>
          <w:rFonts w:ascii="Century Gothic" w:eastAsia="Calibri" w:hAnsi="Century Gothic" w:cs="Calibri"/>
          <w:iCs/>
          <w:color w:val="6E6E7C"/>
          <w:sz w:val="21"/>
          <w:szCs w:val="21"/>
        </w:rPr>
        <w:t>Este incluye</w:t>
      </w:r>
      <w:r w:rsidRPr="00D0786A">
        <w:rPr>
          <w:rFonts w:ascii="Century Gothic" w:eastAsia="Calibri" w:hAnsi="Century Gothic" w:cs="Calibri"/>
          <w:iCs/>
          <w:color w:val="6E6E7C"/>
          <w:sz w:val="21"/>
          <w:szCs w:val="21"/>
        </w:rPr>
        <w:t xml:space="preserve"> información general de la empresa, la justificación para cada caso, y la firma de responsabilidad del</w:t>
      </w:r>
      <w:r>
        <w:rPr>
          <w:rFonts w:ascii="Century Gothic" w:eastAsia="Calibri" w:hAnsi="Century Gothic" w:cs="Calibri"/>
          <w:iCs/>
          <w:color w:val="6E6E7C"/>
          <w:sz w:val="21"/>
          <w:szCs w:val="21"/>
        </w:rPr>
        <w:t xml:space="preserve"> responsable Zonal de la ENESEM</w:t>
      </w:r>
      <w:r w:rsidR="006B145B">
        <w:rPr>
          <w:rFonts w:ascii="Century Gothic" w:eastAsia="Calibri" w:hAnsi="Century Gothic" w:cs="Calibri"/>
          <w:iCs/>
          <w:color w:val="6E6E7C"/>
          <w:sz w:val="21"/>
          <w:szCs w:val="21"/>
        </w:rPr>
        <w:t xml:space="preserve"> (r</w:t>
      </w:r>
      <w:r>
        <w:rPr>
          <w:rFonts w:ascii="Century Gothic" w:eastAsia="Calibri" w:hAnsi="Century Gothic" w:cs="Calibri"/>
          <w:iCs/>
          <w:color w:val="6E6E7C"/>
          <w:sz w:val="21"/>
          <w:szCs w:val="21"/>
        </w:rPr>
        <w:t xml:space="preserve">evisar </w:t>
      </w:r>
      <w:r>
        <w:rPr>
          <w:rFonts w:ascii="Century Gothic" w:eastAsia="Calibri" w:hAnsi="Century Gothic" w:cs="Calibri"/>
          <w:b/>
          <w:iCs/>
          <w:color w:val="6E6E7C"/>
          <w:sz w:val="21"/>
          <w:szCs w:val="21"/>
        </w:rPr>
        <w:t>Anexo 9</w:t>
      </w:r>
      <w:r w:rsidR="006B145B" w:rsidRPr="006B145B">
        <w:rPr>
          <w:rFonts w:ascii="Century Gothic" w:eastAsia="Calibri" w:hAnsi="Century Gothic" w:cs="Calibri"/>
          <w:bCs/>
          <w:iCs/>
          <w:color w:val="6E6E7C"/>
          <w:sz w:val="21"/>
          <w:szCs w:val="21"/>
        </w:rPr>
        <w:t>)</w:t>
      </w:r>
      <w:r w:rsidRPr="006B145B">
        <w:rPr>
          <w:rFonts w:ascii="Century Gothic" w:eastAsia="Calibri" w:hAnsi="Century Gothic" w:cs="Calibri"/>
          <w:bCs/>
          <w:iCs/>
          <w:color w:val="6E6E7C"/>
          <w:sz w:val="21"/>
          <w:szCs w:val="21"/>
        </w:rPr>
        <w:t>.</w:t>
      </w:r>
    </w:p>
    <w:p w14:paraId="282A0CB3" w14:textId="77777777" w:rsidR="0088423F" w:rsidRDefault="0088423F" w:rsidP="006E10E6">
      <w:pPr>
        <w:spacing w:line="276" w:lineRule="auto"/>
        <w:contextualSpacing/>
        <w:jc w:val="both"/>
        <w:rPr>
          <w:rFonts w:ascii="Century Gothic" w:eastAsia="Calibri" w:hAnsi="Century Gothic" w:cs="Calibri"/>
          <w:b/>
          <w:iCs/>
          <w:color w:val="6E6E7C"/>
          <w:sz w:val="21"/>
          <w:szCs w:val="21"/>
        </w:rPr>
      </w:pPr>
    </w:p>
    <w:p w14:paraId="7035F5AF" w14:textId="77777777" w:rsidR="006A74FA" w:rsidRPr="00582936" w:rsidRDefault="006E10E6" w:rsidP="00AA05AF">
      <w:pPr>
        <w:pStyle w:val="Ttulo2"/>
        <w:numPr>
          <w:ilvl w:val="1"/>
          <w:numId w:val="1"/>
        </w:numPr>
        <w:spacing w:before="0" w:line="276" w:lineRule="auto"/>
        <w:jc w:val="both"/>
        <w:rPr>
          <w:rFonts w:eastAsia="Calibri" w:cs="Calibri"/>
          <w:iCs/>
          <w:color w:val="6E6E7C"/>
          <w:sz w:val="21"/>
          <w:szCs w:val="21"/>
        </w:rPr>
      </w:pPr>
      <w:bookmarkStart w:id="205" w:name="_Toc124332737"/>
      <w:bookmarkStart w:id="206" w:name="_Toc126077990"/>
      <w:bookmarkStart w:id="207" w:name="_Toc126657998"/>
      <w:bookmarkStart w:id="208" w:name="_Toc148617350"/>
      <w:bookmarkStart w:id="209" w:name="_Toc161322562"/>
      <w:bookmarkEnd w:id="205"/>
      <w:bookmarkEnd w:id="206"/>
      <w:r w:rsidRPr="00D27640">
        <w:rPr>
          <w:rFonts w:eastAsiaTheme="minorHAnsi" w:cstheme="minorBidi"/>
          <w:bCs/>
          <w:color w:val="6E6E7C"/>
          <w:sz w:val="28"/>
          <w:szCs w:val="44"/>
        </w:rPr>
        <w:t>Estrategia de</w:t>
      </w:r>
      <w:r w:rsidR="006A74FA" w:rsidRPr="00D27640">
        <w:rPr>
          <w:rFonts w:eastAsiaTheme="minorHAnsi" w:cstheme="minorBidi"/>
          <w:bCs/>
          <w:color w:val="6E6E7C"/>
          <w:sz w:val="28"/>
          <w:szCs w:val="44"/>
        </w:rPr>
        <w:t xml:space="preserve"> recolección/ recopilación de información</w:t>
      </w:r>
      <w:bookmarkEnd w:id="207"/>
      <w:bookmarkEnd w:id="208"/>
      <w:r w:rsidR="006A74FA" w:rsidRPr="00D27640" w:rsidDel="00DB7246">
        <w:rPr>
          <w:bCs/>
          <w:color w:val="6E6E7C"/>
        </w:rPr>
        <w:t xml:space="preserve"> </w:t>
      </w:r>
      <w:bookmarkEnd w:id="209"/>
    </w:p>
    <w:p w14:paraId="611F1F6D" w14:textId="77777777" w:rsidR="00AA05AF" w:rsidRPr="00AA05AF" w:rsidRDefault="00AA05AF" w:rsidP="00E5524A">
      <w:pPr>
        <w:pStyle w:val="Prrafodelista"/>
        <w:keepNext/>
        <w:keepLines/>
        <w:numPr>
          <w:ilvl w:val="2"/>
          <w:numId w:val="42"/>
        </w:numPr>
        <w:tabs>
          <w:tab w:val="left" w:pos="142"/>
          <w:tab w:val="left" w:pos="567"/>
        </w:tabs>
        <w:spacing w:before="240" w:after="120"/>
        <w:ind w:left="709" w:hanging="709"/>
        <w:outlineLvl w:val="2"/>
        <w:rPr>
          <w:rFonts w:ascii="Century Gothic" w:hAnsi="Century Gothic"/>
          <w:b/>
          <w:bCs/>
          <w:color w:val="6E6E7C"/>
          <w:sz w:val="26"/>
          <w:szCs w:val="26"/>
        </w:rPr>
      </w:pPr>
      <w:bookmarkStart w:id="210" w:name="_Toc155962067"/>
      <w:bookmarkStart w:id="211" w:name="_Toc161322563"/>
      <w:r w:rsidRPr="00AA05AF">
        <w:rPr>
          <w:rFonts w:ascii="Century Gothic" w:hAnsi="Century Gothic"/>
          <w:b/>
          <w:bCs/>
          <w:color w:val="6E6E7C"/>
          <w:sz w:val="26"/>
          <w:szCs w:val="26"/>
        </w:rPr>
        <w:t>Conformación de equipos de trabajo</w:t>
      </w:r>
      <w:bookmarkEnd w:id="210"/>
      <w:bookmarkEnd w:id="211"/>
      <w:r w:rsidRPr="00AA05AF">
        <w:rPr>
          <w:rFonts w:ascii="Century Gothic" w:hAnsi="Century Gothic"/>
          <w:b/>
          <w:bCs/>
          <w:color w:val="6E6E7C"/>
          <w:sz w:val="26"/>
          <w:szCs w:val="26"/>
        </w:rPr>
        <w:t xml:space="preserve"> </w:t>
      </w:r>
    </w:p>
    <w:p w14:paraId="02058553" w14:textId="77777777" w:rsidR="00AA05AF" w:rsidRDefault="00AA05AF" w:rsidP="00AA05AF">
      <w:pPr>
        <w:pStyle w:val="Sinespaciado"/>
        <w:spacing w:line="276" w:lineRule="auto"/>
        <w:jc w:val="both"/>
        <w:rPr>
          <w:b w:val="0"/>
          <w:color w:val="6E6E7C"/>
          <w:sz w:val="21"/>
          <w:szCs w:val="21"/>
        </w:rPr>
      </w:pPr>
      <w:r w:rsidRPr="00582936">
        <w:rPr>
          <w:b w:val="0"/>
          <w:color w:val="6E6E7C"/>
          <w:sz w:val="21"/>
          <w:szCs w:val="21"/>
        </w:rPr>
        <w:t xml:space="preserve">En cada Coordinación Zonal se tiene un técnico responsable encargado de coordinar, organizar y supervisar la ejecución de la encuesta, quien a la vez tiene a su cargo un equipo técnico (responsables de operativo de campo, responsable de crítica y control de calidad, responsable de directorio, revisores de calidad, críticos-codificadores y encuestadores), tal como lo indica la ilustración 1. </w:t>
      </w:r>
    </w:p>
    <w:p w14:paraId="28D863C5" w14:textId="77777777" w:rsidR="00AA05AF" w:rsidRDefault="00AA05AF" w:rsidP="00AA05AF">
      <w:pPr>
        <w:pStyle w:val="Descripcin"/>
        <w:rPr>
          <w:rFonts w:ascii="Century Gothic" w:hAnsi="Century Gothic"/>
          <w:b w:val="0"/>
          <w:bCs w:val="0"/>
          <w:iCs/>
          <w:color w:val="6E6E7C"/>
        </w:rPr>
      </w:pPr>
      <w:bookmarkStart w:id="212" w:name="_Toc157585849"/>
      <w:bookmarkStart w:id="213" w:name="_Toc157671107"/>
      <w:bookmarkStart w:id="214" w:name="_Toc161322593"/>
      <w:r w:rsidRPr="006A74FA">
        <w:rPr>
          <w:rFonts w:ascii="Century Gothic" w:hAnsi="Century Gothic"/>
          <w:b w:val="0"/>
          <w:bCs w:val="0"/>
          <w:iCs/>
          <w:noProof/>
          <w:color w:val="6E6E7C"/>
          <w:sz w:val="16"/>
          <w:szCs w:val="16"/>
          <w:lang w:eastAsia="es-EC"/>
        </w:rPr>
        <w:lastRenderedPageBreak/>
        <mc:AlternateContent>
          <mc:Choice Requires="wpg">
            <w:drawing>
              <wp:anchor distT="0" distB="0" distL="114300" distR="114300" simplePos="0" relativeHeight="251764736" behindDoc="0" locked="0" layoutInCell="1" allowOverlap="1" wp14:anchorId="3DA6513A" wp14:editId="3086FB35">
                <wp:simplePos x="0" y="0"/>
                <wp:positionH relativeFrom="margin">
                  <wp:posOffset>564515</wp:posOffset>
                </wp:positionH>
                <wp:positionV relativeFrom="paragraph">
                  <wp:posOffset>354330</wp:posOffset>
                </wp:positionV>
                <wp:extent cx="4241800" cy="2911475"/>
                <wp:effectExtent l="0" t="0" r="25400" b="22225"/>
                <wp:wrapNone/>
                <wp:docPr id="90" name="Grupo 90"/>
                <wp:cNvGraphicFramePr/>
                <a:graphic xmlns:a="http://schemas.openxmlformats.org/drawingml/2006/main">
                  <a:graphicData uri="http://schemas.microsoft.com/office/word/2010/wordprocessingGroup">
                    <wpg:wgp>
                      <wpg:cNvGrpSpPr/>
                      <wpg:grpSpPr>
                        <a:xfrm>
                          <a:off x="0" y="0"/>
                          <a:ext cx="4241800" cy="2911475"/>
                          <a:chOff x="0" y="361950"/>
                          <a:chExt cx="4241800" cy="2911475"/>
                        </a:xfrm>
                      </wpg:grpSpPr>
                      <wps:wsp>
                        <wps:cNvPr id="1388174717" name="Rectángulo redondeado 16"/>
                        <wps:cNvSpPr/>
                        <wps:spPr>
                          <a:xfrm>
                            <a:off x="304800" y="2889250"/>
                            <a:ext cx="1231900" cy="371475"/>
                          </a:xfrm>
                          <a:prstGeom prst="roundRect">
                            <a:avLst/>
                          </a:prstGeom>
                          <a:solidFill>
                            <a:schemeClr val="bg2">
                              <a:lumMod val="90000"/>
                            </a:schemeClr>
                          </a:solidFill>
                          <a:ln>
                            <a:solidFill>
                              <a:schemeClr val="bg2">
                                <a:lumMod val="90000"/>
                              </a:schemeClr>
                            </a:solidFill>
                          </a:ln>
                        </wps:spPr>
                        <wps:style>
                          <a:lnRef idx="1">
                            <a:schemeClr val="accent5"/>
                          </a:lnRef>
                          <a:fillRef idx="2">
                            <a:schemeClr val="accent5"/>
                          </a:fillRef>
                          <a:effectRef idx="1">
                            <a:schemeClr val="accent5"/>
                          </a:effectRef>
                          <a:fontRef idx="minor">
                            <a:schemeClr val="dk1"/>
                          </a:fontRef>
                        </wps:style>
                        <wps:txbx>
                          <w:txbxContent>
                            <w:p w14:paraId="7EC16711"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Encuestadores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5" name="Rectángulo redondeado 16"/>
                        <wps:cNvSpPr/>
                        <wps:spPr>
                          <a:xfrm>
                            <a:off x="1720850" y="2901950"/>
                            <a:ext cx="1047750" cy="371475"/>
                          </a:xfrm>
                          <a:prstGeom prst="roundRect">
                            <a:avLst/>
                          </a:prstGeom>
                          <a:solidFill>
                            <a:schemeClr val="bg2">
                              <a:lumMod val="90000"/>
                            </a:schemeClr>
                          </a:solidFill>
                          <a:ln>
                            <a:solidFill>
                              <a:schemeClr val="bg2">
                                <a:lumMod val="90000"/>
                              </a:schemeClr>
                            </a:solidFill>
                          </a:ln>
                        </wps:spPr>
                        <wps:style>
                          <a:lnRef idx="1">
                            <a:schemeClr val="accent5"/>
                          </a:lnRef>
                          <a:fillRef idx="2">
                            <a:schemeClr val="accent5"/>
                          </a:fillRef>
                          <a:effectRef idx="1">
                            <a:schemeClr val="accent5"/>
                          </a:effectRef>
                          <a:fontRef idx="minor">
                            <a:schemeClr val="dk1"/>
                          </a:fontRef>
                        </wps:style>
                        <wps:txbx>
                          <w:txbxContent>
                            <w:p w14:paraId="66A79366"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Críticos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 name="Rectángulo redondeado 16"/>
                        <wps:cNvSpPr/>
                        <wps:spPr>
                          <a:xfrm>
                            <a:off x="3016250" y="2882900"/>
                            <a:ext cx="1225550" cy="371475"/>
                          </a:xfrm>
                          <a:prstGeom prst="roundRect">
                            <a:avLst/>
                          </a:prstGeom>
                          <a:solidFill>
                            <a:schemeClr val="bg2">
                              <a:lumMod val="90000"/>
                            </a:schemeClr>
                          </a:solidFill>
                          <a:ln>
                            <a:solidFill>
                              <a:schemeClr val="bg2">
                                <a:lumMod val="90000"/>
                              </a:schemeClr>
                            </a:solidFill>
                          </a:ln>
                        </wps:spPr>
                        <wps:style>
                          <a:lnRef idx="1">
                            <a:schemeClr val="accent5"/>
                          </a:lnRef>
                          <a:fillRef idx="2">
                            <a:schemeClr val="accent5"/>
                          </a:fillRef>
                          <a:effectRef idx="1">
                            <a:schemeClr val="accent5"/>
                          </a:effectRef>
                          <a:fontRef idx="minor">
                            <a:schemeClr val="dk1"/>
                          </a:fontRef>
                        </wps:style>
                        <wps:txbx>
                          <w:txbxContent>
                            <w:p w14:paraId="1FAC8671" w14:textId="77777777" w:rsidR="00746E03" w:rsidRPr="0044520B" w:rsidRDefault="00746E03" w:rsidP="00AA05AF">
                              <w:pPr>
                                <w:jc w:val="center"/>
                                <w:rPr>
                                  <w:sz w:val="16"/>
                                  <w:szCs w:val="18"/>
                                  <w:lang w:val="es-ES"/>
                                </w:rPr>
                              </w:pPr>
                              <w:r>
                                <w:rPr>
                                  <w:rFonts w:ascii="Century Gothic" w:eastAsia="Calibri" w:hAnsi="Century Gothic"/>
                                  <w:b/>
                                  <w:bCs/>
                                  <w:color w:val="414149"/>
                                  <w:kern w:val="24"/>
                                  <w:sz w:val="16"/>
                                  <w:szCs w:val="18"/>
                                  <w:lang w:val="es-ES"/>
                                </w:rPr>
                                <w:t>Revisores de Calidad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0" name="Conector recto de flecha 80"/>
                        <wps:cNvCnPr/>
                        <wps:spPr>
                          <a:xfrm>
                            <a:off x="952500" y="270510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1" name="Conector recto de flecha 81"/>
                        <wps:cNvCnPr/>
                        <wps:spPr>
                          <a:xfrm>
                            <a:off x="2203450" y="273050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2" name="Conector recto de flecha 82"/>
                        <wps:cNvCnPr/>
                        <wps:spPr>
                          <a:xfrm>
                            <a:off x="3644900" y="271780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89" name="Grupo 89"/>
                        <wpg:cNvGrpSpPr/>
                        <wpg:grpSpPr>
                          <a:xfrm>
                            <a:off x="0" y="361950"/>
                            <a:ext cx="4216400" cy="2346325"/>
                            <a:chOff x="0" y="361950"/>
                            <a:chExt cx="4216400" cy="2346325"/>
                          </a:xfrm>
                        </wpg:grpSpPr>
                        <wps:wsp>
                          <wps:cNvPr id="1388174708" name="Rectángulo redondeado 16"/>
                          <wps:cNvSpPr/>
                          <wps:spPr>
                            <a:xfrm>
                              <a:off x="3003550" y="2152650"/>
                              <a:ext cx="1212850" cy="552450"/>
                            </a:xfrm>
                            <a:prstGeom prst="roundRect">
                              <a:avLst/>
                            </a:prstGeom>
                            <a:solidFill>
                              <a:schemeClr val="accent1">
                                <a:lumMod val="40000"/>
                                <a:lumOff val="60000"/>
                              </a:schemeClr>
                            </a:solidFill>
                            <a:ln>
                              <a:solidFill>
                                <a:schemeClr val="accent1">
                                  <a:lumMod val="40000"/>
                                  <a:lumOff val="60000"/>
                                </a:schemeClr>
                              </a:solidFill>
                            </a:ln>
                          </wps:spPr>
                          <wps:style>
                            <a:lnRef idx="1">
                              <a:schemeClr val="accent5"/>
                            </a:lnRef>
                            <a:fillRef idx="2">
                              <a:schemeClr val="accent5"/>
                            </a:fillRef>
                            <a:effectRef idx="1">
                              <a:schemeClr val="accent5"/>
                            </a:effectRef>
                            <a:fontRef idx="minor">
                              <a:schemeClr val="dk1"/>
                            </a:fontRef>
                          </wps:style>
                          <wps:txbx>
                            <w:txbxContent>
                              <w:p w14:paraId="16F7474E"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Control de Calidad y Directorio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8174709" name="Rectángulo redondeado 16"/>
                          <wps:cNvSpPr/>
                          <wps:spPr>
                            <a:xfrm>
                              <a:off x="1708150" y="2146300"/>
                              <a:ext cx="1054100" cy="561975"/>
                            </a:xfrm>
                            <a:prstGeom prst="roundRect">
                              <a:avLst/>
                            </a:prstGeom>
                            <a:solidFill>
                              <a:schemeClr val="accent1">
                                <a:lumMod val="40000"/>
                                <a:lumOff val="60000"/>
                              </a:schemeClr>
                            </a:solidFill>
                            <a:ln>
                              <a:solidFill>
                                <a:schemeClr val="accent1">
                                  <a:lumMod val="40000"/>
                                  <a:lumOff val="60000"/>
                                </a:schemeClr>
                              </a:solidFill>
                            </a:ln>
                          </wps:spPr>
                          <wps:style>
                            <a:lnRef idx="1">
                              <a:schemeClr val="accent5"/>
                            </a:lnRef>
                            <a:fillRef idx="2">
                              <a:schemeClr val="accent5"/>
                            </a:fillRef>
                            <a:effectRef idx="1">
                              <a:schemeClr val="accent5"/>
                            </a:effectRef>
                            <a:fontRef idx="minor">
                              <a:schemeClr val="dk1"/>
                            </a:fontRef>
                          </wps:style>
                          <wps:txbx>
                            <w:txbxContent>
                              <w:p w14:paraId="25E0A9FB"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 Crítica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8174710" name="Rectángulo redondeado 16"/>
                          <wps:cNvSpPr/>
                          <wps:spPr>
                            <a:xfrm>
                              <a:off x="336550" y="2152650"/>
                              <a:ext cx="1212850" cy="552450"/>
                            </a:xfrm>
                            <a:prstGeom prst="roundRect">
                              <a:avLst/>
                            </a:prstGeom>
                            <a:solidFill>
                              <a:schemeClr val="accent1">
                                <a:lumMod val="40000"/>
                                <a:lumOff val="60000"/>
                              </a:schemeClr>
                            </a:solidFill>
                            <a:ln>
                              <a:solidFill>
                                <a:schemeClr val="accent1">
                                  <a:lumMod val="40000"/>
                                  <a:lumOff val="60000"/>
                                </a:schemeClr>
                              </a:solidFill>
                            </a:ln>
                          </wps:spPr>
                          <wps:style>
                            <a:lnRef idx="1">
                              <a:schemeClr val="accent5"/>
                            </a:lnRef>
                            <a:fillRef idx="2">
                              <a:schemeClr val="accent5"/>
                            </a:fillRef>
                            <a:effectRef idx="1">
                              <a:schemeClr val="accent5"/>
                            </a:effectRef>
                            <a:fontRef idx="minor">
                              <a:schemeClr val="dk1"/>
                            </a:fontRef>
                          </wps:style>
                          <wps:txbx>
                            <w:txbxContent>
                              <w:p w14:paraId="299B9659"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Operativo de Campo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Conector recto 75"/>
                          <wps:cNvCnPr/>
                          <wps:spPr>
                            <a:xfrm>
                              <a:off x="958850" y="1727200"/>
                              <a:ext cx="2647950" cy="6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0" name="Conector recto de flecha 59"/>
                          <wps:cNvCnPr/>
                          <wps:spPr>
                            <a:xfrm>
                              <a:off x="965200" y="1720850"/>
                              <a:ext cx="0" cy="4251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88" name="Grupo 88"/>
                          <wpg:cNvGrpSpPr/>
                          <wpg:grpSpPr>
                            <a:xfrm>
                              <a:off x="0" y="361950"/>
                              <a:ext cx="2860675" cy="1784350"/>
                              <a:chOff x="0" y="361950"/>
                              <a:chExt cx="2860675" cy="1784350"/>
                            </a:xfrm>
                          </wpg:grpSpPr>
                          <wps:wsp>
                            <wps:cNvPr id="1388174707" name="Rectángulo redondeado 16"/>
                            <wps:cNvSpPr/>
                            <wps:spPr>
                              <a:xfrm>
                                <a:off x="0" y="1320800"/>
                                <a:ext cx="1343025" cy="371475"/>
                              </a:xfrm>
                              <a:prstGeom prst="roundRect">
                                <a:avLst/>
                              </a:prstGeom>
                              <a:solidFill>
                                <a:schemeClr val="tx2">
                                  <a:lumMod val="20000"/>
                                  <a:lumOff val="80000"/>
                                </a:schemeClr>
                              </a:solidFill>
                              <a:ln>
                                <a:solidFill>
                                  <a:schemeClr val="tx2">
                                    <a:lumMod val="20000"/>
                                    <a:lumOff val="80000"/>
                                  </a:schemeClr>
                                </a:solidFill>
                              </a:ln>
                            </wps:spPr>
                            <wps:style>
                              <a:lnRef idx="1">
                                <a:schemeClr val="accent5"/>
                              </a:lnRef>
                              <a:fillRef idx="2">
                                <a:schemeClr val="accent5"/>
                              </a:fillRef>
                              <a:effectRef idx="1">
                                <a:schemeClr val="accent5"/>
                              </a:effectRef>
                              <a:fontRef idx="minor">
                                <a:schemeClr val="dk1"/>
                              </a:fontRef>
                            </wps:style>
                            <wps:txbx>
                              <w:txbxContent>
                                <w:p w14:paraId="45E06AB9"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Auxiliar de servicios y procesos de calidad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87" name="Grupo 87"/>
                            <wpg:cNvGrpSpPr/>
                            <wpg:grpSpPr>
                              <a:xfrm>
                                <a:off x="1492250" y="361950"/>
                                <a:ext cx="1368425" cy="923925"/>
                                <a:chOff x="850900" y="361950"/>
                                <a:chExt cx="1368425" cy="923925"/>
                              </a:xfrm>
                            </wpg:grpSpPr>
                            <wps:wsp>
                              <wps:cNvPr id="17" name="Rectángulo redondeado 16"/>
                              <wps:cNvSpPr/>
                              <wps:spPr>
                                <a:xfrm>
                                  <a:off x="850900" y="361950"/>
                                  <a:ext cx="1343025" cy="371475"/>
                                </a:xfrm>
                                <a:prstGeom prst="roundRect">
                                  <a:avLst/>
                                </a:prstGeom>
                                <a:solidFill>
                                  <a:schemeClr val="accent6">
                                    <a:lumMod val="40000"/>
                                    <a:lumOff val="60000"/>
                                  </a:schemeClr>
                                </a:solidFill>
                                <a:ln>
                                  <a:solidFill>
                                    <a:schemeClr val="accent6">
                                      <a:lumMod val="40000"/>
                                      <a:lumOff val="60000"/>
                                    </a:schemeClr>
                                  </a:solidFill>
                                </a:ln>
                              </wps:spPr>
                              <wps:style>
                                <a:lnRef idx="1">
                                  <a:schemeClr val="accent5"/>
                                </a:lnRef>
                                <a:fillRef idx="2">
                                  <a:schemeClr val="accent5"/>
                                </a:fillRef>
                                <a:effectRef idx="1">
                                  <a:schemeClr val="accent5"/>
                                </a:effectRef>
                                <a:fontRef idx="minor">
                                  <a:schemeClr val="dk1"/>
                                </a:fontRef>
                              </wps:style>
                              <wps:txbx>
                                <w:txbxContent>
                                  <w:p w14:paraId="1EB1AEF1" w14:textId="77777777" w:rsidR="00746E03" w:rsidRPr="0044520B" w:rsidRDefault="00746E03" w:rsidP="00AA05AF">
                                    <w:pPr>
                                      <w:pStyle w:val="NormalWeb"/>
                                      <w:spacing w:before="0" w:beforeAutospacing="0" w:after="0" w:afterAutospacing="0"/>
                                      <w:jc w:val="center"/>
                                      <w:rPr>
                                        <w:sz w:val="16"/>
                                        <w:szCs w:val="18"/>
                                        <w:lang w:val="es-ES"/>
                                      </w:rPr>
                                    </w:pPr>
                                    <w:r w:rsidRPr="0044520B">
                                      <w:rPr>
                                        <w:rFonts w:ascii="Century Gothic" w:eastAsia="Calibri" w:hAnsi="Century Gothic"/>
                                        <w:b/>
                                        <w:bCs/>
                                        <w:color w:val="414149"/>
                                        <w:kern w:val="24"/>
                                        <w:sz w:val="16"/>
                                        <w:szCs w:val="18"/>
                                      </w:rPr>
                                      <w:t>Responsable de Operativos de campo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8174706" name="Rectángulo redondeado 16"/>
                              <wps:cNvSpPr/>
                              <wps:spPr>
                                <a:xfrm>
                                  <a:off x="876300" y="914400"/>
                                  <a:ext cx="1343025" cy="371475"/>
                                </a:xfrm>
                                <a:prstGeom prst="roundRect">
                                  <a:avLst/>
                                </a:prstGeom>
                                <a:solidFill>
                                  <a:schemeClr val="accent5">
                                    <a:lumMod val="20000"/>
                                    <a:lumOff val="80000"/>
                                  </a:schemeClr>
                                </a:solidFill>
                                <a:ln>
                                  <a:solidFill>
                                    <a:schemeClr val="accent5">
                                      <a:lumMod val="20000"/>
                                      <a:lumOff val="80000"/>
                                    </a:schemeClr>
                                  </a:solidFill>
                                </a:ln>
                              </wps:spPr>
                              <wps:style>
                                <a:lnRef idx="1">
                                  <a:schemeClr val="accent5"/>
                                </a:lnRef>
                                <a:fillRef idx="2">
                                  <a:schemeClr val="accent5"/>
                                </a:fillRef>
                                <a:effectRef idx="1">
                                  <a:schemeClr val="accent5"/>
                                </a:effectRef>
                                <a:fontRef idx="minor">
                                  <a:schemeClr val="dk1"/>
                                </a:fontRef>
                              </wps:style>
                              <wps:txbx>
                                <w:txbxContent>
                                  <w:p w14:paraId="54EF7BE5"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Zonal ENESEM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 name="Conector recto de flecha 69"/>
                              <wps:cNvCnPr/>
                              <wps:spPr>
                                <a:xfrm>
                                  <a:off x="1524000" y="742950"/>
                                  <a:ext cx="0" cy="1809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s:wsp>
                            <wps:cNvPr id="71" name="Conector recto de flecha 71"/>
                            <wps:cNvCnPr/>
                            <wps:spPr>
                              <a:xfrm flipH="1">
                                <a:off x="1365250" y="1492250"/>
                                <a:ext cx="828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4" name="Conector recto de flecha 84"/>
                            <wps:cNvCnPr/>
                            <wps:spPr>
                              <a:xfrm>
                                <a:off x="2209800" y="1295400"/>
                                <a:ext cx="6350" cy="850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s:wsp>
                          <wps:cNvPr id="86" name="Conector recto de flecha 59"/>
                          <wps:cNvCnPr/>
                          <wps:spPr>
                            <a:xfrm>
                              <a:off x="3600450" y="1727200"/>
                              <a:ext cx="0" cy="4251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3DA6513A" id="Grupo 90" o:spid="_x0000_s1030" style="position:absolute;left:0;text-align:left;margin-left:44.45pt;margin-top:27.9pt;width:334pt;height:229.25pt;z-index:251764736;mso-position-horizontal-relative:margin;mso-width-relative:margin;mso-height-relative:margin" coordorigin=",3619" coordsize="42418,29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">
                <v:roundrect id="Rectángulo redondeado 16" o:spid="_x0000_s1031" style="position:absolute;left:3048;top:28892;width:12319;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0mxMoA&#10;AADjAAAADwAAAGRycy9kb3ducmV2LnhtbESPT2vCQBDF74V+h2WEXkQ3SYuJ0VVEEOqt/gGvQ3bc&#10;BLOzIbvV9Nt3C0KPM+/N+71Zrgfbijv1vnGsIJ0mIIgrpxs2Cs6n3aQA4QOyxtYxKfghD+vV68sS&#10;S+0efKD7MRgRQ9iXqKAOoSul9FVNFv3UdcRRu7reYohjb6Tu8RHDbSuzJJlJiw1HQo0dbWuqbsdv&#10;G7lmc7nI03w73purK+Q487uvTKm30bBZgAg0hH/z8/pTx/rvRZHmH3maw99PcQF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pNJsTKAAAA4wAAAA8AAAAAAAAAAAAAAAAAmAIA&#10;AGRycy9kb3ducmV2LnhtbFBLBQYAAAAABAAEAPUAAACPAwAAAAA=&#10;" fillcolor="#cfcdcd [2894]" strokecolor="#cfcdcd [2894]" strokeweight=".5pt">
                  <v:stroke joinstyle="miter"/>
                  <v:textbox>
                    <w:txbxContent>
                      <w:p w14:paraId="7EC16711"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Encuestadores</w:t>
                        </w:r>
                      </w:p>
                    </w:txbxContent>
                  </v:textbox>
                </v:roundrect>
                <v:roundrect id="Rectángulo redondeado 16" o:spid="_x0000_s1032" style="position:absolute;left:17208;top:29019;width:10478;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eaiMEA&#10;AADbAAAADwAAAGRycy9kb3ducmV2LnhtbESPzYrCMBSF98K8Q7gDsxFNp6Bop6mIIIw7tYLbS3NN&#10;yzQ3pclofXsjCC4P5+fj5KvBtuJKvW8cK/ieJiCIK6cbNgpO5XayAOEDssbWMSm4k4dV8THKMdPu&#10;xge6HoMRcYR9hgrqELpMSl/VZNFPXUccvYvrLYYoeyN1j7c4bluZJslcWmw4EmrsaFNT9Xf8t5Fr&#10;1uezLJeb8c5c3EKOU7/dp0p9fQ7rHxCBhvAOv9q/WsF8Bs8v8QfI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nmojBAAAA2wAAAA8AAAAAAAAAAAAAAAAAmAIAAGRycy9kb3du&#10;cmV2LnhtbFBLBQYAAAAABAAEAPUAAACGAwAAAAA=&#10;" fillcolor="#cfcdcd [2894]" strokecolor="#cfcdcd [2894]" strokeweight=".5pt">
                  <v:stroke joinstyle="miter"/>
                  <v:textbox>
                    <w:txbxContent>
                      <w:p w14:paraId="66A79366"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Críticos</w:t>
                        </w:r>
                      </w:p>
                    </w:txbxContent>
                  </v:textbox>
                </v:roundrect>
                <v:roundrect id="Rectángulo redondeado 16" o:spid="_x0000_s1033" style="position:absolute;left:30162;top:28829;width:12256;height:37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UE/78A&#10;AADbAAAADwAAAGRycy9kb3ducmV2LnhtbESPS6vCMBCF94L/IYzgRjS1i+KtRhFB0J2PC26HZkyL&#10;zaQ0Ueu/N4Lg8nAeH2ex6mwtHtT6yrGC6SQBQVw4XbFR8H/ejmcgfEDWWDsmBS/ysFr2ewvMtXvy&#10;kR6nYEQcYZ+jgjKEJpfSFyVZ9BPXEEfv6lqLIcrWSN3iM47bWqZJkkmLFUdCiQ1tSipup7uNXLO+&#10;XOT5bzPam6ubyVHqt4dUqeGgW89BBOrCL/xt77SCLIPP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9QT/vwAAANsAAAAPAAAAAAAAAAAAAAAAAJgCAABkcnMvZG93bnJl&#10;di54bWxQSwUGAAAAAAQABAD1AAAAhAMAAAAA&#10;" fillcolor="#cfcdcd [2894]" strokecolor="#cfcdcd [2894]" strokeweight=".5pt">
                  <v:stroke joinstyle="miter"/>
                  <v:textbox>
                    <w:txbxContent>
                      <w:p w14:paraId="1FAC8671" w14:textId="77777777" w:rsidR="00746E03" w:rsidRPr="0044520B" w:rsidRDefault="00746E03" w:rsidP="00AA05AF">
                        <w:pPr>
                          <w:jc w:val="center"/>
                          <w:rPr>
                            <w:sz w:val="16"/>
                            <w:szCs w:val="18"/>
                            <w:lang w:val="es-ES"/>
                          </w:rPr>
                        </w:pPr>
                        <w:r>
                          <w:rPr>
                            <w:rFonts w:ascii="Century Gothic" w:eastAsia="Calibri" w:hAnsi="Century Gothic"/>
                            <w:b/>
                            <w:bCs/>
                            <w:color w:val="414149"/>
                            <w:kern w:val="24"/>
                            <w:sz w:val="16"/>
                            <w:szCs w:val="18"/>
                            <w:lang w:val="es-ES"/>
                          </w:rPr>
                          <w:t>Revisores de Calidad</w:t>
                        </w:r>
                      </w:p>
                    </w:txbxContent>
                  </v:textbox>
                </v:roundrect>
                <v:shapetype id="_x0000_t32" coordsize="21600,21600" o:spt="32" o:oned="t" path="m,l21600,21600e" filled="f">
                  <v:path arrowok="t" fillok="f" o:connecttype="none"/>
                  <o:lock v:ext="edit" shapetype="t"/>
                </v:shapetype>
                <v:shape id="Conector recto de flecha 80" o:spid="_x0000_s1034" type="#_x0000_t32" style="position:absolute;left:9525;top:27051;width:0;height:17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VJrMAAAADbAAAADwAAAGRycy9kb3ducmV2LnhtbERPTUvDQBC9C/0Pywheit20VKmx21IE&#10;0WtjFY9DdsyGZmdDdmzTf+8chB4f73u9HWNnTjTkNrGD+awAQ1wn33Lj4PDxer8CkwXZY5eYHFwo&#10;w3YzuVlj6dOZ93SqpDEawrlEB0GkL63NdaCIeZZ6YuV+0hBRFA6N9QOeNTx2dlEUjzZiy9oQsKeX&#10;QPWx+o3aS4fFtHqYPi2Pb/j5/RXkspyLc3e34+4ZjNAoV/G/+907WOl6/aI/wG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1SazAAAAA2wAAAA8AAAAAAAAAAAAAAAAA&#10;oQIAAGRycy9kb3ducmV2LnhtbFBLBQYAAAAABAAEAPkAAACOAwAAAAA=&#10;" strokecolor="#4472c4 [3204]" strokeweight=".5pt">
                  <v:stroke endarrow="block" joinstyle="miter"/>
                </v:shape>
                <v:shape id="Conector recto de flecha 81" o:spid="_x0000_s1035" type="#_x0000_t32" style="position:absolute;left:22034;top:27305;width:0;height:17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nsN8IAAADbAAAADwAAAGRycy9kb3ducmV2LnhtbESPT2vCQBDF74V+h2UKXkQ3EVs0ukop&#10;FHtttOJxyI7ZYHY2ZKcav323UOjx8f78eOvt4Ft1pT42gQ3k0wwUcRVsw7WBw/59sgAVBdliG5gM&#10;3CnCdvP4sMbChht/0rWUWqURjgUacCJdoXWsHHmM09ARJ+8ceo+SZF9r2+MtjftWz7LsRXtsOBEc&#10;dvTmqLqU3z5x6TAbl8/j5fyyw6/T0cl9nosxo6fhdQVKaJD/8F/7wxpY5PD7Jf0Av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nsN8IAAADbAAAADwAAAAAAAAAAAAAA&#10;AAChAgAAZHJzL2Rvd25yZXYueG1sUEsFBgAAAAAEAAQA+QAAAJADAAAAAA==&#10;" strokecolor="#4472c4 [3204]" strokeweight=".5pt">
                  <v:stroke endarrow="block" joinstyle="miter"/>
                </v:shape>
                <v:shape id="Conector recto de flecha 82" o:spid="_x0000_s1036" type="#_x0000_t32" style="position:absolute;left:36449;top:27178;width:0;height:17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tyQMIAAADbAAAADwAAAGRycy9kb3ducmV2LnhtbESPT2vCQBDF70K/wzKFXqRuDFo0ukop&#10;SHtttMXjkB2zwexsyI4av323UOjx8f78eOvt4Ft1pT42gQ1MJxko4irYhmsDh/3ueQEqCrLFNjAZ&#10;uFOE7eZhtMbChht/0rWUWqURjgUacCJdoXWsHHmMk9ARJ+8Ueo+SZF9r2+MtjftW51n2oj02nAgO&#10;O3pzVJ3Li09cOuTjcj5ezs7v+HX8dnKfTcWYp8fhdQVKaJD/8F/7wxpY5PD7Jf0Av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6tyQMIAAADbAAAADwAAAAAAAAAAAAAA&#10;AAChAgAAZHJzL2Rvd25yZXYueG1sUEsFBgAAAAAEAAQA+QAAAJADAAAAAA==&#10;" strokecolor="#4472c4 [3204]" strokeweight=".5pt">
                  <v:stroke endarrow="block" joinstyle="miter"/>
                </v:shape>
                <v:group id="Grupo 89" o:spid="_x0000_s1037" style="position:absolute;top:3619;width:42164;height:23463" coordorigin=",3619" coordsize="42164,2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roundrect id="Rectángulo redondeado 16" o:spid="_x0000_s1038" style="position:absolute;left:30035;top:21526;width:12129;height:55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QGMsA&#10;AADjAAAADwAAAGRycy9kb3ducmV2LnhtbESP3U7DMAyF75F4h8hI3LGk5WdVWTYhEAihCYmOB7AS&#10;ry00TtVkW3l7fIHEpX2Oz/m82sxhUEeaUh/ZQrEwoIhd9D23Fj53z1cVqJSRPQ6RycIPJdisz89W&#10;WPt44g86NrlVEsKpRgtdzmOtdXIdBUyLOBKLto9TwCzj1Go/4UnCw6BLY+50wJ6locORHjty380h&#10;WNiZfSyeytkNX6V2L3z73mzfDtZeXswP96Ayzfnf/Hf96gX/uqqK5c3SCLT8JAv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rNAYywAAAOMAAAAPAAAAAAAAAAAAAAAAAJgC&#10;AABkcnMvZG93bnJldi54bWxQSwUGAAAAAAQABAD1AAAAkAMAAAAA&#10;" fillcolor="#b4c6e7 [1300]" strokecolor="#b4c6e7 [1300]" strokeweight=".5pt">
                    <v:stroke joinstyle="miter"/>
                    <v:textbox>
                      <w:txbxContent>
                        <w:p w14:paraId="16F7474E"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Control de Calidad y Directorio</w:t>
                          </w:r>
                        </w:p>
                      </w:txbxContent>
                    </v:textbox>
                  </v:roundrect>
                  <v:roundrect id="Rectángulo redondeado 16" o:spid="_x0000_s1039" style="position:absolute;left:17081;top:21463;width:10541;height:561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1g8cA&#10;AADjAAAADwAAAGRycy9kb3ducmV2LnhtbERPX0vDMBB/F/wO4QTfXNKqW1eXjaEoMoZgtw9wJLe2&#10;rrmUJtvqtzeC4OP9/t9iNbpOnGkIrWcN2USBIDbetlxr2O9e7woQISJb7DyThm8KsFpeXy2wtP7C&#10;n3SuYi1SCIcSNTQx9qWUwTTkMEx8T5y4gx8cxnQOtbQDXlK462Su1FQ6bDk1NNjTc0PmWJ2chp06&#10;+OwlH033lUvzxo8f1XZz0vr2Zlw/gYg0xn/xn/vdpvn3RZHNHmZqDr8/JQD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gdYPHAAAA4wAAAA8AAAAAAAAAAAAAAAAAmAIAAGRy&#10;cy9kb3ducmV2LnhtbFBLBQYAAAAABAAEAPUAAACMAwAAAAA=&#10;" fillcolor="#b4c6e7 [1300]" strokecolor="#b4c6e7 [1300]" strokeweight=".5pt">
                    <v:stroke joinstyle="miter"/>
                    <v:textbox>
                      <w:txbxContent>
                        <w:p w14:paraId="25E0A9FB"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 Crítica</w:t>
                          </w:r>
                        </w:p>
                      </w:txbxContent>
                    </v:textbox>
                  </v:roundrect>
                  <v:roundrect id="Rectángulo redondeado 16" o:spid="_x0000_s1040" style="position:absolute;left:3365;top:21526;width:12129;height:55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NKw8sA&#10;AADjAAAADwAAAGRycy9kb3ducmV2LnhtbESP0UrDQBBF3wX/YRnBN7tJrG2I3RZRFJFSMPUDht1p&#10;Es3Ohuy2Tf/eeRB8nJk7996z2ky+VycaYxfYQD7LQBHb4DpuDHztX+9KUDEhO+wDk4ELRdisr69W&#10;WLlw5k861alRYsKxQgNtSkOldbQteYyzMBDL7RBGj0nGsdFuxLOY+14XWbbQHjuWhBYHem7J/tRH&#10;b2CfHUL+Uky2/y60feOHXb39OBpzezM9PYJKNKV/8d/3u5P692WZL+fLXCiESRag1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qA0rDywAAAOMAAAAPAAAAAAAAAAAAAAAAAJgC&#10;AABkcnMvZG93bnJldi54bWxQSwUGAAAAAAQABAD1AAAAkAMAAAAA&#10;" fillcolor="#b4c6e7 [1300]" strokecolor="#b4c6e7 [1300]" strokeweight=".5pt">
                    <v:stroke joinstyle="miter"/>
                    <v:textbox>
                      <w:txbxContent>
                        <w:p w14:paraId="299B9659"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Operativo de Campo</w:t>
                          </w:r>
                        </w:p>
                      </w:txbxContent>
                    </v:textbox>
                  </v:roundrect>
                  <v:line id="Conector recto 75" o:spid="_x0000_s1041" style="position:absolute;visibility:visible;mso-wrap-style:square" from="9588,17272" to="36068,17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XGDcQAAADbAAAADwAAAGRycy9kb3ducmV2LnhtbESPzWrDMBCE74W+g9hAb4mclsbFtRJK&#10;IKWnQv4OuS3W2nJirRxLtd23rwKBHoeZ+YbJV6NtRE+drx0rmM8SEMSF0zVXCg77zfQNhA/IGhvH&#10;pOCXPKyWjw85ZtoNvKV+FyoRIewzVGBCaDMpfWHIop+5ljh6pesshii7SuoOhwi3jXxOkoW0WHNc&#10;MNjS2lBx2f1YBVcsNmRPx88+GUz/sijb7/R8UuppMn68gwg0hv/wvf2lFaSvcPsSf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9cYNxAAAANsAAAAPAAAAAAAAAAAA&#10;AAAAAKECAABkcnMvZG93bnJldi54bWxQSwUGAAAAAAQABAD5AAAAkgMAAAAA&#10;" strokecolor="#4472c4 [3204]" strokeweight=".5pt">
                    <v:stroke joinstyle="miter"/>
                  </v:line>
                  <v:shape id="Conector recto de flecha 59" o:spid="_x0000_s1042" type="#_x0000_t32" style="position:absolute;left:9652;top:17208;width:0;height:42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mvVsAAAADbAAAADwAAAGRycy9kb3ducmV2LnhtbERPTUvDQBC9C/0Pywheit201KKx21IE&#10;0WtjFY9DdsyGZmdDdmzTf+8chB4f73u9HWNnTjTkNrGD+awAQ1wn33Lj4PDxev8IJguyxy4xObhQ&#10;hu1mcrPG0qcz7+lUSWM0hHOJDoJIX1qb60AR8yz1xMr9pCGiKBwa6wc8a3js7KIoVjZiy9oQsKeX&#10;QPWx+o3aS4fFtHqYPi2Pb/j5/RXkspyLc3e34+4ZjNAoV/G/+907WOl6/aI/wG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w5r1bAAAAA2wAAAA8AAAAAAAAAAAAAAAAA&#10;oQIAAGRycy9kb3ducmV2LnhtbFBLBQYAAAAABAAEAPkAAACOAwAAAAA=&#10;" strokecolor="#4472c4 [3204]" strokeweight=".5pt">
                    <v:stroke endarrow="block" joinstyle="miter"/>
                  </v:shape>
                  <v:group id="Grupo 88" o:spid="_x0000_s1043" style="position:absolute;top:3619;width:28606;height:17844" coordorigin=",3619" coordsize="28606,17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roundrect id="Rectángulo redondeado 16" o:spid="_x0000_s1044" style="position:absolute;top:13208;width:13430;height:37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r9lccA&#10;AADjAAAADwAAAGRycy9kb3ducmV2LnhtbERPX2vCMBB/H+w7hBv4MmZaHWupRpGBoE+ybr4fzdlW&#10;m0uXRK3f3gwGPt7v/82Xg+nEhZxvLStIxwkI4srqlmsFP9/rtxyED8gaO8uk4EYelovnpzkW2l75&#10;iy5lqEUMYV+ggiaEvpDSVw0Z9GPbE0fuYJ3BEE9XS+3wGsNNJydJ8iENthwbGuzps6HqVJ6NAnfY&#10;rLemL2+v1e64yvd6Pz39pkqNXobVDESgITzE/+6NjvOneZ5m71mSwd9PEQC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a/ZXHAAAA4wAAAA8AAAAAAAAAAAAAAAAAmAIAAGRy&#10;cy9kb3ducmV2LnhtbFBLBQYAAAAABAAEAPUAAACMAwAAAAA=&#10;" fillcolor="#d5dce4 [671]" strokecolor="#d5dce4 [671]" strokeweight=".5pt">
                      <v:stroke joinstyle="miter"/>
                      <v:textbox>
                        <w:txbxContent>
                          <w:p w14:paraId="45E06AB9"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Auxiliar de servicios y procesos de calidad</w:t>
                            </w:r>
                          </w:p>
                        </w:txbxContent>
                      </v:textbox>
                    </v:roundrect>
                    <v:group id="Grupo 87" o:spid="_x0000_s1045" style="position:absolute;left:14922;top:3619;width:13684;height:9239" coordorigin="8509,3619" coordsize="13684,9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roundrect id="Rectángulo redondeado 16" o:spid="_x0000_s1046" style="position:absolute;left:8509;top:3619;width:13430;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zfcEA&#10;AADbAAAADwAAAGRycy9kb3ducmV2LnhtbERPO2vDMBDeC/kP4gLZGjkdUuNYCSGQYNwpbpduF+v8&#10;INLJWGrs/vuqUOh2H9/z8sNsjXjQ6HvHCjbrBARx7XTPrYKP9/NzCsIHZI3GMSn4Jg+H/eIpx0y7&#10;ia/0qEIrYgj7DBV0IQyZlL7uyKJfu4E4co0bLYYIx1bqEacYbo18SZKttNhzbOhwoFNH9b36sgqa&#10;vp2MuZZFeSzf9Ceml1tBF6VWy/m4AxFoDv/iP3eh4/xX+P0lHi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C833BAAAA2wAAAA8AAAAAAAAAAAAAAAAAmAIAAGRycy9kb3du&#10;cmV2LnhtbFBLBQYAAAAABAAEAPUAAACGAwAAAAA=&#10;" fillcolor="#c5e0b3 [1305]" strokecolor="#c5e0b3 [1305]" strokeweight=".5pt">
                        <v:stroke joinstyle="miter"/>
                        <v:textbox>
                          <w:txbxContent>
                            <w:p w14:paraId="1EB1AEF1" w14:textId="77777777" w:rsidR="00746E03" w:rsidRPr="0044520B" w:rsidRDefault="00746E03" w:rsidP="00AA05AF">
                              <w:pPr>
                                <w:pStyle w:val="NormalWeb"/>
                                <w:spacing w:before="0" w:beforeAutospacing="0" w:after="0" w:afterAutospacing="0"/>
                                <w:jc w:val="center"/>
                                <w:rPr>
                                  <w:sz w:val="16"/>
                                  <w:szCs w:val="18"/>
                                  <w:lang w:val="es-ES"/>
                                </w:rPr>
                              </w:pPr>
                              <w:r w:rsidRPr="0044520B">
                                <w:rPr>
                                  <w:rFonts w:ascii="Century Gothic" w:eastAsia="Calibri" w:hAnsi="Century Gothic"/>
                                  <w:b/>
                                  <w:bCs/>
                                  <w:color w:val="414149"/>
                                  <w:kern w:val="24"/>
                                  <w:sz w:val="16"/>
                                  <w:szCs w:val="18"/>
                                </w:rPr>
                                <w:t>Responsable de Operativos de campo</w:t>
                              </w:r>
                            </w:p>
                          </w:txbxContent>
                        </v:textbox>
                      </v:roundrect>
                      <v:roundrect id="Rectángulo redondeado 16" o:spid="_x0000_s1047" style="position:absolute;left:8763;top:9144;width:13430;height:37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Mk+ckA&#10;AADjAAAADwAAAGRycy9kb3ducmV2LnhtbESPT2sCMRDF70K/Q5hCb5rVirvdGqUKBXuzKj0Pyewf&#10;upksSXTXb98UCj3OvPd+82a9HW0nbuRD61jBfJaBINbOtFwruJzfpwWIEJENdo5JwZ0CbDcPkzWW&#10;xg38SbdTrEWCcChRQRNjX0oZdEMWw8z1xEmrnLcY0+hraTwOCW47uciylbTYcrrQYE/7hvT36WoT&#10;RR+PO67k3p+r8f6lL8PH4mVQ6ulxfHsFEWmM/+a/9MGk+s9FMc+XebaC35/SAu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jMk+ckAAADjAAAADwAAAAAAAAAAAAAAAACYAgAA&#10;ZHJzL2Rvd25yZXYueG1sUEsFBgAAAAAEAAQA9QAAAI4DAAAAAA==&#10;" fillcolor="#deeaf6 [664]" strokecolor="#deeaf6 [664]" strokeweight=".5pt">
                        <v:stroke joinstyle="miter"/>
                        <v:textbox>
                          <w:txbxContent>
                            <w:p w14:paraId="54EF7BE5"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Zonal ENESEM</w:t>
                              </w:r>
                            </w:p>
                          </w:txbxContent>
                        </v:textbox>
                      </v:roundrect>
                      <v:shape id="Conector recto de flecha 69" o:spid="_x0000_s1048" type="#_x0000_t32" style="position:absolute;left:15240;top:7429;width:0;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MGy8IAAADbAAAADwAAAGRycy9kb3ducmV2LnhtbESPT2vCQBDF74V+h2UKvYhuFCs1ukop&#10;lHo1tcXjkB2zwexsyE41fntXEDw+3p8fb7nufaNO1MU6sIHxKANFXAZbc2Vg9/M1fAcVBdliE5gM&#10;XCjCevX8tMTchjNv6VRIpdIIxxwNOJE21zqWjjzGUWiJk3cInUdJsqu07fCcxn2jJ1k20x5rTgSH&#10;LX06Ko/Fv09c2k0GxdtgPj1+4+/+z8llOhZjXl/6jwUooV4e4Xt7Yw3M5nD7kn6AXl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QMGy8IAAADbAAAADwAAAAAAAAAAAAAA&#10;AAChAgAAZHJzL2Rvd25yZXYueG1sUEsFBgAAAAAEAAQA+QAAAJADAAAAAA==&#10;" strokecolor="#4472c4 [3204]" strokeweight=".5pt">
                        <v:stroke endarrow="block" joinstyle="miter"/>
                      </v:shape>
                    </v:group>
                    <v:shape id="Conector recto de flecha 71" o:spid="_x0000_s1049" type="#_x0000_t32" style="position:absolute;left:13652;top:14922;width:828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C3dcYAAADbAAAADwAAAGRycy9kb3ducmV2LnhtbESPT2vCQBTE74V+h+UVvBTdaFuV6Cpt&#10;pNCrf0C9PbLPbGz2bZrdxuin7xYKPQ4z8xtmvuxsJVpqfOlYwXCQgCDOnS65ULDbvvenIHxA1lg5&#10;JgVX8rBc3N/NMdXuwmtqN6EQEcI+RQUmhDqV0ueGLPqBq4mjd3KNxRBlU0jd4CXCbSVHSTKWFkuO&#10;CwZrygzln5tvq+B4etHtW7Yqc3PInvaPz7ev82GlVO+he52BCNSF//Bf+0MrmAzh90v8AX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wt3XGAAAA2wAAAA8AAAAAAAAA&#10;AAAAAAAAoQIAAGRycy9kb3ducmV2LnhtbFBLBQYAAAAABAAEAPkAAACUAwAAAAA=&#10;" strokecolor="#4472c4 [3204]" strokeweight=".5pt">
                      <v:stroke endarrow="block" joinstyle="miter"/>
                    </v:shape>
                    <v:shape id="Conector recto de flecha 84" o:spid="_x0000_s1050" type="#_x0000_t32" style="position:absolute;left:22098;top:12954;width:63;height:850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5Pr8IAAADbAAAADwAAAGRycy9kb3ducmV2LnhtbESPT2vCQBDF70K/wzKFXqRulFhs6iql&#10;IO3VaEuPQ3aaDWZnQ3bU+O27guDx8f78eMv14Ft1oj42gQ1MJxko4irYhmsD+93meQEqCrLFNjAZ&#10;uFCE9ephtMTChjNv6VRKrdIIxwINOJGu0DpWjjzGSeiIk/cXeo+SZF9r2+M5jftWz7LsRXtsOBEc&#10;dvThqDqUR5+4tJ+Ny/n4NT984vfvj5NLPhVjnh6H9zdQQoPcw7f2lzWwyOH6Jf0Av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w5Pr8IAAADbAAAADwAAAAAAAAAAAAAA&#10;AAChAgAAZHJzL2Rvd25yZXYueG1sUEsFBgAAAAAEAAQA+QAAAJADAAAAAA==&#10;" strokecolor="#4472c4 [3204]" strokeweight=".5pt">
                      <v:stroke endarrow="block" joinstyle="miter"/>
                    </v:shape>
                  </v:group>
                  <v:shape id="Conector recto de flecha 59" o:spid="_x0000_s1051" type="#_x0000_t32" style="position:absolute;left:36004;top:17272;width:0;height:42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B0Q8IAAADbAAAADwAAAGRycy9kb3ducmV2LnhtbESPT2vCQBDF7wW/wzJCL1I3ihVNXUWE&#10;0l5NbfE4ZKfZYHY2ZKcav31XEDw+3p8fb7XpfaPO1MU6sIHJOANFXAZbc2Xg8PX+sgAVBdliE5gM&#10;XCnCZj14WmFuw4X3dC6kUmmEY44GnEibax1LRx7jOLTEyfsNnUdJsqu07fCSxn2jp1k21x5rTgSH&#10;Le0clafizycuHaaj4nW0nJ0+8Pv44+Q6m4gxz8N++wZKqJdH+N7+tAYWc7h9ST9Ar/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JB0Q8IAAADbAAAADwAAAAAAAAAAAAAA&#10;AAChAgAAZHJzL2Rvd25yZXYueG1sUEsFBgAAAAAEAAQA+QAAAJADAAAAAA==&#10;" strokecolor="#4472c4 [3204]" strokeweight=".5pt">
                    <v:stroke endarrow="block" joinstyle="miter"/>
                  </v:shape>
                </v:group>
                <w10:wrap anchorx="margin"/>
              </v:group>
            </w:pict>
          </mc:Fallback>
        </mc:AlternateContent>
      </w:r>
      <w:r w:rsidRPr="006A74FA">
        <w:rPr>
          <w:rFonts w:ascii="Century Gothic" w:hAnsi="Century Gothic"/>
          <w:iCs/>
          <w:color w:val="6E6E7C"/>
        </w:rPr>
        <w:t xml:space="preserve">Ilustración </w:t>
      </w:r>
      <w:r w:rsidRPr="006A74FA">
        <w:rPr>
          <w:rFonts w:ascii="Century Gothic" w:hAnsi="Century Gothic"/>
          <w:iCs/>
          <w:color w:val="6E6E7C"/>
        </w:rPr>
        <w:fldChar w:fldCharType="begin"/>
      </w:r>
      <w:r w:rsidRPr="006A74FA">
        <w:rPr>
          <w:rFonts w:ascii="Century Gothic" w:hAnsi="Century Gothic"/>
          <w:iCs/>
          <w:color w:val="6E6E7C"/>
        </w:rPr>
        <w:instrText xml:space="preserve"> SEQ Ilustración \* ARABIC </w:instrText>
      </w:r>
      <w:r w:rsidRPr="006A74FA">
        <w:rPr>
          <w:rFonts w:ascii="Century Gothic" w:hAnsi="Century Gothic"/>
          <w:iCs/>
          <w:color w:val="6E6E7C"/>
        </w:rPr>
        <w:fldChar w:fldCharType="separate"/>
      </w:r>
      <w:r>
        <w:rPr>
          <w:rFonts w:ascii="Century Gothic" w:hAnsi="Century Gothic"/>
          <w:iCs/>
          <w:noProof/>
          <w:color w:val="6E6E7C"/>
        </w:rPr>
        <w:t>1</w:t>
      </w:r>
      <w:r w:rsidRPr="006A74FA">
        <w:rPr>
          <w:rFonts w:ascii="Century Gothic" w:hAnsi="Century Gothic"/>
          <w:iCs/>
          <w:color w:val="6E6E7C"/>
        </w:rPr>
        <w:fldChar w:fldCharType="end"/>
      </w:r>
      <w:r w:rsidRPr="006A74FA">
        <w:rPr>
          <w:rFonts w:ascii="Century Gothic" w:hAnsi="Century Gothic"/>
          <w:iCs/>
          <w:color w:val="6E6E7C"/>
        </w:rPr>
        <w:t>.</w:t>
      </w:r>
      <w:r w:rsidRPr="006A74FA">
        <w:rPr>
          <w:rFonts w:ascii="Century Gothic" w:hAnsi="Century Gothic"/>
          <w:b w:val="0"/>
          <w:bCs w:val="0"/>
          <w:iCs/>
          <w:color w:val="6E6E7C"/>
        </w:rPr>
        <w:t xml:space="preserve"> Organigrama de equipos de trabajo en Coordinaciones Zonales – AC Campo / CZ Litoral</w:t>
      </w:r>
      <w:bookmarkEnd w:id="212"/>
      <w:bookmarkEnd w:id="213"/>
      <w:bookmarkEnd w:id="214"/>
    </w:p>
    <w:p w14:paraId="10785344" w14:textId="77777777" w:rsidR="00AA05AF" w:rsidRPr="00582936" w:rsidRDefault="00AA05AF" w:rsidP="00AA05AF">
      <w:pPr>
        <w:pStyle w:val="Descripcin"/>
        <w:rPr>
          <w:rFonts w:ascii="Century Gothic" w:eastAsia="Times New Roman" w:hAnsi="Century Gothic" w:cs="Arial"/>
          <w:color w:val="6E6E7C"/>
          <w:szCs w:val="20"/>
          <w:lang w:eastAsia="es-EC"/>
        </w:rPr>
      </w:pPr>
    </w:p>
    <w:p w14:paraId="731F01E3"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0798456C"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77ABFFB2"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1C7D4A19"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0D90736E"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79A90E56"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6597EF1A"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10BCAE03" w14:textId="77777777" w:rsidR="00AA05AF" w:rsidRPr="00582936" w:rsidRDefault="00AA05AF" w:rsidP="00AA05AF">
      <w:pPr>
        <w:spacing w:after="240" w:line="276" w:lineRule="auto"/>
        <w:jc w:val="both"/>
        <w:rPr>
          <w:rFonts w:ascii="Century Gothic" w:eastAsia="Times New Roman" w:hAnsi="Century Gothic" w:cs="Arial"/>
          <w:color w:val="6E6E7C"/>
          <w:sz w:val="18"/>
          <w:szCs w:val="20"/>
          <w:lang w:eastAsia="es-EC"/>
        </w:rPr>
      </w:pPr>
    </w:p>
    <w:p w14:paraId="316C5C58" w14:textId="77777777" w:rsidR="00AA05AF" w:rsidRDefault="00AA05AF" w:rsidP="00AA05AF">
      <w:pPr>
        <w:pStyle w:val="Sinespaciado"/>
        <w:spacing w:after="0" w:line="240" w:lineRule="auto"/>
        <w:rPr>
          <w:rFonts w:cs="Calibri"/>
          <w:color w:val="6E6E7C"/>
          <w:sz w:val="16"/>
          <w:szCs w:val="16"/>
        </w:rPr>
      </w:pPr>
    </w:p>
    <w:p w14:paraId="251F58BD" w14:textId="77777777" w:rsidR="00AA05AF" w:rsidRPr="00582936" w:rsidRDefault="00AA05AF" w:rsidP="00AA05AF">
      <w:pPr>
        <w:pStyle w:val="Sinespaciado"/>
        <w:spacing w:after="0" w:line="240" w:lineRule="auto"/>
        <w:rPr>
          <w:b w:val="0"/>
          <w:color w:val="6E6E7C"/>
          <w:sz w:val="16"/>
          <w:szCs w:val="16"/>
        </w:rPr>
      </w:pPr>
      <w:r w:rsidRPr="00582936">
        <w:rPr>
          <w:rFonts w:cs="Calibri"/>
          <w:color w:val="6E6E7C"/>
          <w:sz w:val="16"/>
          <w:szCs w:val="16"/>
        </w:rPr>
        <w:t xml:space="preserve">Fuente: </w:t>
      </w:r>
      <w:r w:rsidRPr="00582936">
        <w:rPr>
          <w:b w:val="0"/>
          <w:color w:val="6E6E7C"/>
          <w:sz w:val="16"/>
          <w:szCs w:val="16"/>
        </w:rPr>
        <w:t>INEC</w:t>
      </w:r>
      <w:r w:rsidRPr="00582936">
        <w:rPr>
          <w:b w:val="0"/>
          <w:bCs w:val="0"/>
          <w:color w:val="6E6E7C"/>
          <w:sz w:val="16"/>
          <w:szCs w:val="16"/>
        </w:rPr>
        <w:t>, Encuesta Estructural Empresarial (ENESEM 2022).</w:t>
      </w:r>
    </w:p>
    <w:p w14:paraId="3E9C0A0D" w14:textId="77777777" w:rsidR="00AA05AF" w:rsidRPr="00582936" w:rsidRDefault="00AA05AF" w:rsidP="00AA05AF">
      <w:pPr>
        <w:pStyle w:val="Sinespaciado"/>
        <w:spacing w:after="0" w:line="240" w:lineRule="auto"/>
        <w:rPr>
          <w:rFonts w:cs="Calibri"/>
          <w:color w:val="6E6E7C"/>
          <w:sz w:val="16"/>
          <w:szCs w:val="16"/>
        </w:rPr>
      </w:pPr>
      <w:r w:rsidRPr="00582936">
        <w:rPr>
          <w:rFonts w:cs="Calibri"/>
          <w:color w:val="6E6E7C"/>
          <w:sz w:val="16"/>
          <w:szCs w:val="16"/>
        </w:rPr>
        <w:t xml:space="preserve">Elaboración: </w:t>
      </w:r>
      <w:r w:rsidRPr="00582936">
        <w:rPr>
          <w:rFonts w:cs="Calibri"/>
          <w:b w:val="0"/>
          <w:color w:val="6E6E7C"/>
          <w:sz w:val="16"/>
          <w:szCs w:val="16"/>
        </w:rPr>
        <w:t>Gestión de Estadísticas Estructurales (GESE).</w:t>
      </w:r>
    </w:p>
    <w:p w14:paraId="033A61D4" w14:textId="77777777" w:rsidR="00AA05AF" w:rsidRDefault="00AA05AF" w:rsidP="00AA05AF">
      <w:pPr>
        <w:pStyle w:val="Descripcin"/>
        <w:rPr>
          <w:rFonts w:ascii="Century Gothic" w:hAnsi="Century Gothic"/>
          <w:iCs/>
          <w:color w:val="6E6E7C"/>
        </w:rPr>
      </w:pPr>
    </w:p>
    <w:p w14:paraId="71C7B1F8" w14:textId="77777777" w:rsidR="00AA05AF" w:rsidRPr="006A74FA" w:rsidRDefault="00AA05AF" w:rsidP="00AA05AF">
      <w:pPr>
        <w:pStyle w:val="Descripcin"/>
        <w:rPr>
          <w:rFonts w:ascii="Century Gothic" w:hAnsi="Century Gothic"/>
          <w:b w:val="0"/>
          <w:bCs w:val="0"/>
          <w:iCs/>
          <w:color w:val="6E6E7C"/>
        </w:rPr>
      </w:pPr>
      <w:bookmarkStart w:id="215" w:name="_Toc157585850"/>
      <w:bookmarkStart w:id="216" w:name="_Toc157671108"/>
      <w:bookmarkStart w:id="217" w:name="_Toc161322594"/>
      <w:r w:rsidRPr="006A74FA">
        <w:rPr>
          <w:rFonts w:ascii="Century Gothic" w:hAnsi="Century Gothic"/>
          <w:iCs/>
          <w:color w:val="6E6E7C"/>
        </w:rPr>
        <w:t xml:space="preserve">Ilustración </w:t>
      </w:r>
      <w:r w:rsidRPr="006A74FA">
        <w:rPr>
          <w:rFonts w:ascii="Century Gothic" w:hAnsi="Century Gothic"/>
          <w:iCs/>
          <w:color w:val="6E6E7C"/>
        </w:rPr>
        <w:fldChar w:fldCharType="begin"/>
      </w:r>
      <w:r w:rsidRPr="006A74FA">
        <w:rPr>
          <w:rFonts w:ascii="Century Gothic" w:hAnsi="Century Gothic"/>
          <w:iCs/>
          <w:color w:val="6E6E7C"/>
        </w:rPr>
        <w:instrText xml:space="preserve"> SEQ Ilustración \* ARABIC </w:instrText>
      </w:r>
      <w:r w:rsidRPr="006A74FA">
        <w:rPr>
          <w:rFonts w:ascii="Century Gothic" w:hAnsi="Century Gothic"/>
          <w:iCs/>
          <w:color w:val="6E6E7C"/>
        </w:rPr>
        <w:fldChar w:fldCharType="separate"/>
      </w:r>
      <w:r>
        <w:rPr>
          <w:rFonts w:ascii="Century Gothic" w:hAnsi="Century Gothic"/>
          <w:iCs/>
          <w:noProof/>
          <w:color w:val="6E6E7C"/>
        </w:rPr>
        <w:t>2</w:t>
      </w:r>
      <w:r w:rsidRPr="006A74FA">
        <w:rPr>
          <w:rFonts w:ascii="Century Gothic" w:hAnsi="Century Gothic"/>
          <w:iCs/>
          <w:color w:val="6E6E7C"/>
        </w:rPr>
        <w:fldChar w:fldCharType="end"/>
      </w:r>
      <w:r w:rsidRPr="006A74FA">
        <w:rPr>
          <w:rFonts w:ascii="Century Gothic" w:hAnsi="Century Gothic"/>
          <w:iCs/>
          <w:color w:val="6E6E7C"/>
        </w:rPr>
        <w:t xml:space="preserve">. </w:t>
      </w:r>
      <w:r w:rsidRPr="006A74FA">
        <w:rPr>
          <w:rFonts w:ascii="Century Gothic" w:hAnsi="Century Gothic"/>
          <w:b w:val="0"/>
          <w:bCs w:val="0"/>
          <w:iCs/>
          <w:color w:val="6E6E7C"/>
        </w:rPr>
        <w:t>Organigrama de equipos de trabajo en Coordinaciones Zonales – CZ Sur / CZ Centro</w:t>
      </w:r>
      <w:bookmarkEnd w:id="215"/>
      <w:bookmarkEnd w:id="216"/>
      <w:bookmarkEnd w:id="217"/>
    </w:p>
    <w:p w14:paraId="15035A87"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r w:rsidRPr="00582936">
        <w:rPr>
          <w:rFonts w:ascii="Century Gothic" w:hAnsi="Century Gothic"/>
          <w:noProof/>
          <w:color w:val="6E6E7C"/>
          <w:lang w:eastAsia="es-EC"/>
        </w:rPr>
        <mc:AlternateContent>
          <mc:Choice Requires="wpg">
            <w:drawing>
              <wp:anchor distT="0" distB="0" distL="114300" distR="114300" simplePos="0" relativeHeight="251765760" behindDoc="0" locked="0" layoutInCell="1" allowOverlap="1" wp14:anchorId="455FF1A0" wp14:editId="0CC56B02">
                <wp:simplePos x="0" y="0"/>
                <wp:positionH relativeFrom="margin">
                  <wp:posOffset>56515</wp:posOffset>
                </wp:positionH>
                <wp:positionV relativeFrom="paragraph">
                  <wp:posOffset>19685</wp:posOffset>
                </wp:positionV>
                <wp:extent cx="4755515" cy="3164205"/>
                <wp:effectExtent l="0" t="0" r="26035" b="17145"/>
                <wp:wrapNone/>
                <wp:docPr id="91" name="Grupo 91"/>
                <wp:cNvGraphicFramePr/>
                <a:graphic xmlns:a="http://schemas.openxmlformats.org/drawingml/2006/main">
                  <a:graphicData uri="http://schemas.microsoft.com/office/word/2010/wordprocessingGroup">
                    <wpg:wgp>
                      <wpg:cNvGrpSpPr/>
                      <wpg:grpSpPr>
                        <a:xfrm>
                          <a:off x="0" y="0"/>
                          <a:ext cx="4755515" cy="3164205"/>
                          <a:chOff x="-513907" y="361950"/>
                          <a:chExt cx="4755707" cy="3164588"/>
                        </a:xfrm>
                      </wpg:grpSpPr>
                      <wps:wsp>
                        <wps:cNvPr id="92" name="Rectángulo redondeado 16"/>
                        <wps:cNvSpPr/>
                        <wps:spPr>
                          <a:xfrm>
                            <a:off x="-513907" y="3155063"/>
                            <a:ext cx="1231900" cy="371475"/>
                          </a:xfrm>
                          <a:prstGeom prst="roundRect">
                            <a:avLst/>
                          </a:prstGeom>
                          <a:solidFill>
                            <a:schemeClr val="bg2">
                              <a:lumMod val="90000"/>
                            </a:schemeClr>
                          </a:solidFill>
                          <a:ln>
                            <a:solidFill>
                              <a:schemeClr val="bg2">
                                <a:lumMod val="90000"/>
                              </a:schemeClr>
                            </a:solidFill>
                          </a:ln>
                        </wps:spPr>
                        <wps:style>
                          <a:lnRef idx="1">
                            <a:schemeClr val="accent5"/>
                          </a:lnRef>
                          <a:fillRef idx="2">
                            <a:schemeClr val="accent5"/>
                          </a:fillRef>
                          <a:effectRef idx="1">
                            <a:schemeClr val="accent5"/>
                          </a:effectRef>
                          <a:fontRef idx="minor">
                            <a:schemeClr val="dk1"/>
                          </a:fontRef>
                        </wps:style>
                        <wps:txbx>
                          <w:txbxContent>
                            <w:p w14:paraId="3DF91B9F"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Encuestadores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 name="Rectángulo redondeado 16"/>
                        <wps:cNvSpPr/>
                        <wps:spPr>
                          <a:xfrm>
                            <a:off x="1433771" y="3155035"/>
                            <a:ext cx="1047750" cy="371475"/>
                          </a:xfrm>
                          <a:prstGeom prst="roundRect">
                            <a:avLst/>
                          </a:prstGeom>
                          <a:solidFill>
                            <a:schemeClr val="bg2">
                              <a:lumMod val="90000"/>
                            </a:schemeClr>
                          </a:solidFill>
                          <a:ln>
                            <a:solidFill>
                              <a:schemeClr val="bg2">
                                <a:lumMod val="90000"/>
                              </a:schemeClr>
                            </a:solidFill>
                          </a:ln>
                        </wps:spPr>
                        <wps:style>
                          <a:lnRef idx="1">
                            <a:schemeClr val="accent5"/>
                          </a:lnRef>
                          <a:fillRef idx="2">
                            <a:schemeClr val="accent5"/>
                          </a:fillRef>
                          <a:effectRef idx="1">
                            <a:schemeClr val="accent5"/>
                          </a:effectRef>
                          <a:fontRef idx="minor">
                            <a:schemeClr val="dk1"/>
                          </a:fontRef>
                        </wps:style>
                        <wps:txbx>
                          <w:txbxContent>
                            <w:p w14:paraId="20AF9CDB"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Críticos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4" name="Rectángulo redondeado 16"/>
                        <wps:cNvSpPr/>
                        <wps:spPr>
                          <a:xfrm>
                            <a:off x="3016250" y="3155005"/>
                            <a:ext cx="1225550" cy="371475"/>
                          </a:xfrm>
                          <a:prstGeom prst="roundRect">
                            <a:avLst/>
                          </a:prstGeom>
                          <a:solidFill>
                            <a:schemeClr val="bg2">
                              <a:lumMod val="90000"/>
                            </a:schemeClr>
                          </a:solidFill>
                          <a:ln>
                            <a:solidFill>
                              <a:schemeClr val="bg2">
                                <a:lumMod val="90000"/>
                              </a:schemeClr>
                            </a:solidFill>
                          </a:ln>
                        </wps:spPr>
                        <wps:style>
                          <a:lnRef idx="1">
                            <a:schemeClr val="accent5"/>
                          </a:lnRef>
                          <a:fillRef idx="2">
                            <a:schemeClr val="accent5"/>
                          </a:fillRef>
                          <a:effectRef idx="1">
                            <a:schemeClr val="accent5"/>
                          </a:effectRef>
                          <a:fontRef idx="minor">
                            <a:schemeClr val="dk1"/>
                          </a:fontRef>
                        </wps:style>
                        <wps:txbx>
                          <w:txbxContent>
                            <w:p w14:paraId="7040797E" w14:textId="77777777" w:rsidR="00746E03" w:rsidRPr="0044520B" w:rsidRDefault="00746E03" w:rsidP="00AA05AF">
                              <w:pPr>
                                <w:jc w:val="center"/>
                                <w:rPr>
                                  <w:sz w:val="16"/>
                                  <w:szCs w:val="18"/>
                                  <w:lang w:val="es-ES"/>
                                </w:rPr>
                              </w:pPr>
                              <w:r>
                                <w:rPr>
                                  <w:rFonts w:ascii="Century Gothic" w:eastAsia="Calibri" w:hAnsi="Century Gothic"/>
                                  <w:b/>
                                  <w:bCs/>
                                  <w:color w:val="414149"/>
                                  <w:kern w:val="24"/>
                                  <w:sz w:val="16"/>
                                  <w:szCs w:val="18"/>
                                  <w:lang w:val="es-ES"/>
                                </w:rPr>
                                <w:t>Revisores de Calidad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98" name="Grupo 98"/>
                        <wpg:cNvGrpSpPr/>
                        <wpg:grpSpPr>
                          <a:xfrm>
                            <a:off x="228600" y="361950"/>
                            <a:ext cx="3987800" cy="2343150"/>
                            <a:chOff x="228600" y="361950"/>
                            <a:chExt cx="3987800" cy="2343150"/>
                          </a:xfrm>
                        </wpg:grpSpPr>
                        <wps:wsp>
                          <wps:cNvPr id="99" name="Rectángulo redondeado 16"/>
                          <wps:cNvSpPr/>
                          <wps:spPr>
                            <a:xfrm>
                              <a:off x="3003550" y="2152650"/>
                              <a:ext cx="1212850" cy="552450"/>
                            </a:xfrm>
                            <a:prstGeom prst="roundRect">
                              <a:avLst/>
                            </a:prstGeom>
                            <a:solidFill>
                              <a:schemeClr val="accent1">
                                <a:lumMod val="40000"/>
                                <a:lumOff val="60000"/>
                              </a:schemeClr>
                            </a:solidFill>
                            <a:ln>
                              <a:solidFill>
                                <a:schemeClr val="accent1">
                                  <a:lumMod val="40000"/>
                                  <a:lumOff val="60000"/>
                                </a:schemeClr>
                              </a:solidFill>
                            </a:ln>
                          </wps:spPr>
                          <wps:style>
                            <a:lnRef idx="1">
                              <a:schemeClr val="accent5"/>
                            </a:lnRef>
                            <a:fillRef idx="2">
                              <a:schemeClr val="accent5"/>
                            </a:fillRef>
                            <a:effectRef idx="1">
                              <a:schemeClr val="accent5"/>
                            </a:effectRef>
                            <a:fontRef idx="minor">
                              <a:schemeClr val="dk1"/>
                            </a:fontRef>
                          </wps:style>
                          <wps:txbx>
                            <w:txbxContent>
                              <w:p w14:paraId="2FF9766B"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Control de Calidad y Directorio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1" name="Rectángulo redondeado 16"/>
                          <wps:cNvSpPr/>
                          <wps:spPr>
                            <a:xfrm>
                              <a:off x="228600" y="2152650"/>
                              <a:ext cx="1488706" cy="552450"/>
                            </a:xfrm>
                            <a:prstGeom prst="roundRect">
                              <a:avLst/>
                            </a:prstGeom>
                            <a:solidFill>
                              <a:schemeClr val="accent1">
                                <a:lumMod val="40000"/>
                                <a:lumOff val="60000"/>
                              </a:schemeClr>
                            </a:solidFill>
                            <a:ln>
                              <a:solidFill>
                                <a:schemeClr val="accent1">
                                  <a:lumMod val="40000"/>
                                  <a:lumOff val="60000"/>
                                </a:schemeClr>
                              </a:solidFill>
                            </a:ln>
                          </wps:spPr>
                          <wps:style>
                            <a:lnRef idx="1">
                              <a:schemeClr val="accent5"/>
                            </a:lnRef>
                            <a:fillRef idx="2">
                              <a:schemeClr val="accent5"/>
                            </a:fillRef>
                            <a:effectRef idx="1">
                              <a:schemeClr val="accent5"/>
                            </a:effectRef>
                            <a:fontRef idx="minor">
                              <a:schemeClr val="dk1"/>
                            </a:fontRef>
                          </wps:style>
                          <wps:txbx>
                            <w:txbxContent>
                              <w:p w14:paraId="1EB51D39"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Operativo de Campo y Crítica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2" name="Conector recto 102"/>
                          <wps:cNvCnPr/>
                          <wps:spPr>
                            <a:xfrm>
                              <a:off x="958850" y="1727200"/>
                              <a:ext cx="2647950" cy="6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 name="Conector recto de flecha 59"/>
                          <wps:cNvCnPr/>
                          <wps:spPr>
                            <a:xfrm>
                              <a:off x="965200" y="1720850"/>
                              <a:ext cx="0" cy="4251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106" name="Grupo 106"/>
                          <wpg:cNvGrpSpPr/>
                          <wpg:grpSpPr>
                            <a:xfrm>
                              <a:off x="1492250" y="361950"/>
                              <a:ext cx="1368425" cy="923925"/>
                              <a:chOff x="850900" y="361950"/>
                              <a:chExt cx="1368425" cy="923925"/>
                            </a:xfrm>
                          </wpg:grpSpPr>
                          <wps:wsp>
                            <wps:cNvPr id="108" name="Rectángulo redondeado 16"/>
                            <wps:cNvSpPr/>
                            <wps:spPr>
                              <a:xfrm>
                                <a:off x="850900" y="361950"/>
                                <a:ext cx="1343025" cy="371475"/>
                              </a:xfrm>
                              <a:prstGeom prst="roundRect">
                                <a:avLst/>
                              </a:prstGeom>
                              <a:solidFill>
                                <a:schemeClr val="accent6">
                                  <a:lumMod val="40000"/>
                                  <a:lumOff val="60000"/>
                                </a:schemeClr>
                              </a:solidFill>
                              <a:ln>
                                <a:solidFill>
                                  <a:schemeClr val="accent6">
                                    <a:lumMod val="40000"/>
                                    <a:lumOff val="60000"/>
                                  </a:schemeClr>
                                </a:solidFill>
                              </a:ln>
                            </wps:spPr>
                            <wps:style>
                              <a:lnRef idx="1">
                                <a:schemeClr val="accent5"/>
                              </a:lnRef>
                              <a:fillRef idx="2">
                                <a:schemeClr val="accent5"/>
                              </a:fillRef>
                              <a:effectRef idx="1">
                                <a:schemeClr val="accent5"/>
                              </a:effectRef>
                              <a:fontRef idx="minor">
                                <a:schemeClr val="dk1"/>
                              </a:fontRef>
                            </wps:style>
                            <wps:txbx>
                              <w:txbxContent>
                                <w:p w14:paraId="117C06A4" w14:textId="77777777" w:rsidR="00746E03" w:rsidRPr="0044520B" w:rsidRDefault="00746E03" w:rsidP="00AA05AF">
                                  <w:pPr>
                                    <w:pStyle w:val="NormalWeb"/>
                                    <w:spacing w:before="0" w:beforeAutospacing="0" w:after="0" w:afterAutospacing="0"/>
                                    <w:jc w:val="center"/>
                                    <w:rPr>
                                      <w:sz w:val="16"/>
                                      <w:szCs w:val="18"/>
                                      <w:lang w:val="es-ES"/>
                                    </w:rPr>
                                  </w:pPr>
                                  <w:r w:rsidRPr="0044520B">
                                    <w:rPr>
                                      <w:rFonts w:ascii="Century Gothic" w:eastAsia="Calibri" w:hAnsi="Century Gothic"/>
                                      <w:b/>
                                      <w:bCs/>
                                      <w:color w:val="414149"/>
                                      <w:kern w:val="24"/>
                                      <w:sz w:val="16"/>
                                      <w:szCs w:val="18"/>
                                    </w:rPr>
                                    <w:t>Responsable de Operativos de campo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9" name="Rectángulo redondeado 16"/>
                            <wps:cNvSpPr/>
                            <wps:spPr>
                              <a:xfrm>
                                <a:off x="876300" y="914400"/>
                                <a:ext cx="1343025" cy="371475"/>
                              </a:xfrm>
                              <a:prstGeom prst="roundRect">
                                <a:avLst/>
                              </a:prstGeom>
                              <a:solidFill>
                                <a:schemeClr val="accent5">
                                  <a:lumMod val="20000"/>
                                  <a:lumOff val="80000"/>
                                </a:schemeClr>
                              </a:solidFill>
                              <a:ln>
                                <a:solidFill>
                                  <a:schemeClr val="accent5">
                                    <a:lumMod val="20000"/>
                                    <a:lumOff val="80000"/>
                                  </a:schemeClr>
                                </a:solidFill>
                              </a:ln>
                            </wps:spPr>
                            <wps:style>
                              <a:lnRef idx="1">
                                <a:schemeClr val="accent5"/>
                              </a:lnRef>
                              <a:fillRef idx="2">
                                <a:schemeClr val="accent5"/>
                              </a:fillRef>
                              <a:effectRef idx="1">
                                <a:schemeClr val="accent5"/>
                              </a:effectRef>
                              <a:fontRef idx="minor">
                                <a:schemeClr val="dk1"/>
                              </a:fontRef>
                            </wps:style>
                            <wps:txbx>
                              <w:txbxContent>
                                <w:p w14:paraId="47C10B6D"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Zonal ENESEM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0" name="Conector recto de flecha 110"/>
                            <wps:cNvCnPr/>
                            <wps:spPr>
                              <a:xfrm>
                                <a:off x="1524000" y="742950"/>
                                <a:ext cx="0" cy="1809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s:wsp>
                          <wps:cNvPr id="113" name="Conector recto de flecha 59"/>
                          <wps:cNvCnPr/>
                          <wps:spPr>
                            <a:xfrm>
                              <a:off x="3600450" y="1727200"/>
                              <a:ext cx="0" cy="4251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455FF1A0" id="Grupo 91" o:spid="_x0000_s1052" style="position:absolute;left:0;text-align:left;margin-left:4.45pt;margin-top:1.55pt;width:374.45pt;height:249.15pt;z-index:251765760;mso-position-horizontal-relative:margin;mso-width-relative:margin;mso-height-relative:margin" coordorigin="-5139,3619" coordsize="47557,3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">
                <v:roundrect id="Rectángulo redondeado 16" o:spid="_x0000_s1053" style="position:absolute;left:-5139;top:31550;width:12318;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ty274A&#10;AADbAAAADwAAAGRycy9kb3ducmV2LnhtbESPywrCMBBF94L/EEZwI5rahWg1igiC7nyB26EZ02Iz&#10;KU3U+vdGEFxe7uNwF6vWVuJJjS8dKxiPEhDEudMlGwWX83Y4BeEDssbKMSl4k4fVsttZYKbdi4/0&#10;PAUj4gj7DBUUIdSZlD4vyKIfuZo4ejfXWAxRNkbqBl9x3FYyTZKJtFhyJBRY06ag/H562Mg16+tV&#10;nmebwd7c3FQOUr89pEr1e+16DiJQG/7hX3unFcxS+H6JP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wbctu+AAAA2wAAAA8AAAAAAAAAAAAAAAAAmAIAAGRycy9kb3ducmV2&#10;LnhtbFBLBQYAAAAABAAEAPUAAACDAwAAAAA=&#10;" fillcolor="#cfcdcd [2894]" strokecolor="#cfcdcd [2894]" strokeweight=".5pt">
                  <v:stroke joinstyle="miter"/>
                  <v:textbox>
                    <w:txbxContent>
                      <w:p w14:paraId="3DF91B9F"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Encuestadores</w:t>
                        </w:r>
                      </w:p>
                    </w:txbxContent>
                  </v:textbox>
                </v:roundrect>
                <v:roundrect id="Rectángulo redondeado 16" o:spid="_x0000_s1054" style="position:absolute;left:14337;top:31550;width:10478;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fXQMIA&#10;AADbAAAADwAAAGRycy9kb3ducmV2LnhtbESPX2vCMBTF3wd+h3AFX0RTOxi1GqUUhPm2qdDXS3NN&#10;i81NaTKt394MBns8nD8/znY/2k7cafCtYwWrZQKCuHa6ZaPgcj4sMhA+IGvsHJOCJ3nY7yZvW8y1&#10;e/A33U/BiDjCPkcFTQh9LqWvG7Lol64njt7VDRZDlIOResBHHLedTJPkQ1psORIa7KlsqL6dfmzk&#10;mqKq5Hldzo/m6jI5T/3hK1VqNh2LDYhAY/gP/7U/tYL1O/x+iT9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V9dAwgAAANsAAAAPAAAAAAAAAAAAAAAAAJgCAABkcnMvZG93&#10;bnJldi54bWxQSwUGAAAAAAQABAD1AAAAhwMAAAAA&#10;" fillcolor="#cfcdcd [2894]" strokecolor="#cfcdcd [2894]" strokeweight=".5pt">
                  <v:stroke joinstyle="miter"/>
                  <v:textbox>
                    <w:txbxContent>
                      <w:p w14:paraId="20AF9CDB" w14:textId="77777777" w:rsidR="00746E03" w:rsidRPr="0044520B" w:rsidRDefault="00746E03" w:rsidP="00AA05AF">
                        <w:pPr>
                          <w:pStyle w:val="Encabezado"/>
                          <w:jc w:val="center"/>
                          <w:rPr>
                            <w:sz w:val="16"/>
                            <w:szCs w:val="18"/>
                            <w:lang w:val="es-ES"/>
                          </w:rPr>
                        </w:pPr>
                        <w:r>
                          <w:rPr>
                            <w:rFonts w:ascii="Century Gothic" w:eastAsia="Calibri" w:hAnsi="Century Gothic"/>
                            <w:b/>
                            <w:bCs/>
                            <w:color w:val="414149"/>
                            <w:kern w:val="24"/>
                            <w:sz w:val="16"/>
                            <w:szCs w:val="18"/>
                            <w:lang w:val="es-ES"/>
                          </w:rPr>
                          <w:t>Críticos</w:t>
                        </w:r>
                      </w:p>
                    </w:txbxContent>
                  </v:textbox>
                </v:roundrect>
                <v:roundrect id="Rectángulo redondeado 16" o:spid="_x0000_s1055" style="position:absolute;left:30162;top:31550;width:12256;height:37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5PNMIA&#10;AADbAAAADwAAAGRycy9kb3ducmV2LnhtbESPX2vCMBTF3wd+h3AFX0RTyxi1GqUUhPm2qdDXS3NN&#10;i81NaTKt394MBns8nD8/znY/2k7cafCtYwWrZQKCuHa6ZaPgcj4sMhA+IGvsHJOCJ3nY7yZvW8y1&#10;e/A33U/BiDjCPkcFTQh9LqWvG7Lol64njt7VDRZDlIOResBHHLedTJPkQ1psORIa7KlsqL6dfmzk&#10;mqKq5Hldzo/m6jI5T/3hK1VqNh2LDYhAY/gP/7U/tYL1O/x+iT9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vk80wgAAANsAAAAPAAAAAAAAAAAAAAAAAJgCAABkcnMvZG93&#10;bnJldi54bWxQSwUGAAAAAAQABAD1AAAAhwMAAAAA&#10;" fillcolor="#cfcdcd [2894]" strokecolor="#cfcdcd [2894]" strokeweight=".5pt">
                  <v:stroke joinstyle="miter"/>
                  <v:textbox>
                    <w:txbxContent>
                      <w:p w14:paraId="7040797E" w14:textId="77777777" w:rsidR="00746E03" w:rsidRPr="0044520B" w:rsidRDefault="00746E03" w:rsidP="00AA05AF">
                        <w:pPr>
                          <w:jc w:val="center"/>
                          <w:rPr>
                            <w:sz w:val="16"/>
                            <w:szCs w:val="18"/>
                            <w:lang w:val="es-ES"/>
                          </w:rPr>
                        </w:pPr>
                        <w:r>
                          <w:rPr>
                            <w:rFonts w:ascii="Century Gothic" w:eastAsia="Calibri" w:hAnsi="Century Gothic"/>
                            <w:b/>
                            <w:bCs/>
                            <w:color w:val="414149"/>
                            <w:kern w:val="24"/>
                            <w:sz w:val="16"/>
                            <w:szCs w:val="18"/>
                            <w:lang w:val="es-ES"/>
                          </w:rPr>
                          <w:t>Revisores de Calidad</w:t>
                        </w:r>
                      </w:p>
                    </w:txbxContent>
                  </v:textbox>
                </v:roundrect>
                <v:group id="Grupo 98" o:spid="_x0000_s1056" style="position:absolute;left:2286;top:3619;width:39878;height:23432" coordorigin="2286,3619" coordsize="39878,23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roundrect id="Rectángulo redondeado 16" o:spid="_x0000_s1057" style="position:absolute;left:30035;top:21526;width:12129;height:55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Arh8QA&#10;AADbAAAADwAAAGRycy9kb3ducmV2LnhtbESP3WrCQBSE7wu+w3IE75qNgZYasxGxtEgpBaMPcNg9&#10;+dHs2ZBdNX37bqHQy2FmvmGKzWR7caPRd44VLJMUBLF2puNGwen49vgCwgdkg71jUvBNHjbl7KHA&#10;3Lg7H+hWhUZECPscFbQhDLmUXrdk0SduII5e7UaLIcqxkWbEe4TbXmZp+iwtdhwXWhxo15K+VFer&#10;4JjWbvmaTbo/Z1K/89NX9flxVWoxn7ZrEIGm8B/+a++NgtUKfr/EHy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QK4fEAAAA2wAAAA8AAAAAAAAAAAAAAAAAmAIAAGRycy9k&#10;b3ducmV2LnhtbFBLBQYAAAAABAAEAPUAAACJAwAAAAA=&#10;" fillcolor="#b4c6e7 [1300]" strokecolor="#b4c6e7 [1300]" strokeweight=".5pt">
                    <v:stroke joinstyle="miter"/>
                    <v:textbox>
                      <w:txbxContent>
                        <w:p w14:paraId="2FF9766B"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Control de Calidad y Directorio</w:t>
                          </w:r>
                        </w:p>
                      </w:txbxContent>
                    </v:textbox>
                  </v:roundrect>
                  <v:roundrect id="Rectángulo redondeado 16" o:spid="_x0000_s1058" style="position:absolute;left:2286;top:21526;width:14887;height:55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NsUcEA&#10;AADcAAAADwAAAGRycy9kb3ducmV2LnhtbERP3WrCMBS+H/gO4QjezaSFjVGNIsrGkDFY9QEOybGt&#10;NieliVrf3gjC7s7H93vmy8G14kJ9aDxryKYKBLHxtuFKw373+foBIkRki61n0nCjAMvF6GWOhfVX&#10;/qNLGSuRQjgUqKGOsSukDKYmh2HqO+LEHXzvMCbYV9L2eE3hrpW5Uu/SYcOpocaO1jWZU3l2Gnbq&#10;4LNNPpj2mEvzxW+/5c/2rPVkPKxmICIN8V/8dH/bNF9l8HgmXS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jbFHBAAAA3AAAAA8AAAAAAAAAAAAAAAAAmAIAAGRycy9kb3du&#10;cmV2LnhtbFBLBQYAAAAABAAEAPUAAACGAwAAAAA=&#10;" fillcolor="#b4c6e7 [1300]" strokecolor="#b4c6e7 [1300]" strokeweight=".5pt">
                    <v:stroke joinstyle="miter"/>
                    <v:textbox>
                      <w:txbxContent>
                        <w:p w14:paraId="1EB51D39"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del Operativo de Campo y Crítica</w:t>
                          </w:r>
                        </w:p>
                      </w:txbxContent>
                    </v:textbox>
                  </v:roundrect>
                  <v:line id="Conector recto 102" o:spid="_x0000_s1059" style="position:absolute;visibility:visible;mso-wrap-style:square" from="9588,17272" to="36068,17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ZXnMIAAADcAAAADwAAAGRycy9kb3ducmV2LnhtbERPS2sCMRC+C/6HMEJvmqigZWsUESye&#10;CvVx8DZsxs22m8m6SXe3/74pCN7m43vOatO7SrTUhNKzhulEgSDOvSm50HA+7cevIEJENlh5Jg2/&#10;FGCzHg5WmBnf8Se1x1iIFMIhQw02xjqTMuSWHIaJr4kTd/ONw5hgU0jTYJfCXSVnSi2kw5JTg8Wa&#10;dpby7+OP03DHfE/uenlvVWfb+eJWfyy/rlq/jPrtG4hIfXyKH+6DSfPVDP6fSR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4ZXnMIAAADcAAAADwAAAAAAAAAAAAAA&#10;AAChAgAAZHJzL2Rvd25yZXYueG1sUEsFBgAAAAAEAAQA+QAAAJADAAAAAA==&#10;" strokecolor="#4472c4 [3204]" strokeweight=".5pt">
                    <v:stroke joinstyle="miter"/>
                  </v:line>
                  <v:shape id="Conector recto de flecha 59" o:spid="_x0000_s1060" type="#_x0000_t32" style="position:absolute;left:9652;top:17208;width:0;height:42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Lj8sQAAADcAAAADwAAAGRycy9kb3ducmV2LnhtbESPT2vCQBDF74V+h2UKXkQ3/is2dZVS&#10;EHtttOJxyE6zwexsyE41fvtuoeBthvfm/d6sNr1v1IW6WAc2MBlnoIjLYGuuDBz229ESVBRki01g&#10;MnCjCJv148MKcxuu/EmXQiqVQjjmaMCJtLnWsXTkMY5DS5y079B5lLR2lbYdXlO4b/Q0y561x5oT&#10;wWFL747Kc/HjE5cO02GxGL7Mzzv8Oh2d3OYTMWbw1L+9ghLq5W7+v/6wqX42g79n0gR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UuPyxAAAANwAAAAPAAAAAAAAAAAA&#10;AAAAAKECAABkcnMvZG93bnJldi54bWxQSwUGAAAAAAQABAD5AAAAkgMAAAAA&#10;" strokecolor="#4472c4 [3204]" strokeweight=".5pt">
                    <v:stroke endarrow="block" joinstyle="miter"/>
                  </v:shape>
                  <v:group id="Grupo 106" o:spid="_x0000_s1061" style="position:absolute;left:14922;top:3619;width:13684;height:9239" coordorigin="8509,3619" coordsize="13684,9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roundrect id="Rectángulo redondeado 16" o:spid="_x0000_s1062" style="position:absolute;left:8509;top:3619;width:13430;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oWMQA&#10;AADcAAAADwAAAGRycy9kb3ducmV2LnhtbESPT2/CMAzF75P4DpGRdhspHBDqCAhNGqrKiT+X3bzG&#10;tNUSp2oCLd9+PiBxs/We3/t5vR29U3fqYxvYwHyWgSKugm25NnA5f3+sQMWEbNEFJgMPirDdTN7W&#10;mNsw8JHup1QrCeGYo4EmpS7XOlYNeYyz0BGLdg29xyRrX2vb4yDh3ulFli21x5alocGOvhqq/k43&#10;b+Da1oNzx7Iod+XB/uBq/1vQ3pj36bj7BJVoTC/z87qwgp8JrTwjE+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I6FjEAAAA3AAAAA8AAAAAAAAAAAAAAAAAmAIAAGRycy9k&#10;b3ducmV2LnhtbFBLBQYAAAAABAAEAPUAAACJAwAAAAA=&#10;" fillcolor="#c5e0b3 [1305]" strokecolor="#c5e0b3 [1305]" strokeweight=".5pt">
                      <v:stroke joinstyle="miter"/>
                      <v:textbox>
                        <w:txbxContent>
                          <w:p w14:paraId="117C06A4" w14:textId="77777777" w:rsidR="00746E03" w:rsidRPr="0044520B" w:rsidRDefault="00746E03" w:rsidP="00AA05AF">
                            <w:pPr>
                              <w:pStyle w:val="NormalWeb"/>
                              <w:spacing w:before="0" w:beforeAutospacing="0" w:after="0" w:afterAutospacing="0"/>
                              <w:jc w:val="center"/>
                              <w:rPr>
                                <w:sz w:val="16"/>
                                <w:szCs w:val="18"/>
                                <w:lang w:val="es-ES"/>
                              </w:rPr>
                            </w:pPr>
                            <w:r w:rsidRPr="0044520B">
                              <w:rPr>
                                <w:rFonts w:ascii="Century Gothic" w:eastAsia="Calibri" w:hAnsi="Century Gothic"/>
                                <w:b/>
                                <w:bCs/>
                                <w:color w:val="414149"/>
                                <w:kern w:val="24"/>
                                <w:sz w:val="16"/>
                                <w:szCs w:val="18"/>
                              </w:rPr>
                              <w:t>Responsable de Operativos de campo</w:t>
                            </w:r>
                          </w:p>
                        </w:txbxContent>
                      </v:textbox>
                    </v:roundrect>
                    <v:roundrect id="Rectángulo redondeado 16" o:spid="_x0000_s1063" style="position:absolute;left:8763;top:9144;width:13430;height:37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vFlMMA&#10;AADcAAAADwAAAGRycy9kb3ducmV2LnhtbESPzWrDMBCE74W+g9hCb40cH0rjRgmJodDeHMf0vEjr&#10;H2KtjKTGzttXhUBvu8zMt7Pb/WJHcSUfBscK1qsMBLF2ZuBOQXP+eHkDESKywdExKbhRgP3u8WGL&#10;hXEzn+hax04kCIcCFfQxToWUQfdkMazcRJy01nmLMa2+k8bjnOB2lHmWvUqLA6cLPU5U9qQv9Y9N&#10;FF1VR25l6c/tcvvWzfyVb2alnp+WwzuISEv8N9/TnybVzzbw90ya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vFlMMAAADcAAAADwAAAAAAAAAAAAAAAACYAgAAZHJzL2Rv&#10;d25yZXYueG1sUEsFBgAAAAAEAAQA9QAAAIgDAAAAAA==&#10;" fillcolor="#deeaf6 [664]" strokecolor="#deeaf6 [664]" strokeweight=".5pt">
                      <v:stroke joinstyle="miter"/>
                      <v:textbox>
                        <w:txbxContent>
                          <w:p w14:paraId="47C10B6D" w14:textId="77777777" w:rsidR="00746E03" w:rsidRPr="0044520B" w:rsidRDefault="00746E03" w:rsidP="00AA05AF">
                            <w:pPr>
                              <w:pStyle w:val="NormalWeb"/>
                              <w:spacing w:before="0" w:beforeAutospacing="0" w:after="0" w:afterAutospacing="0"/>
                              <w:jc w:val="center"/>
                              <w:rPr>
                                <w:sz w:val="16"/>
                                <w:szCs w:val="18"/>
                                <w:lang w:val="es-ES"/>
                              </w:rPr>
                            </w:pPr>
                            <w:r>
                              <w:rPr>
                                <w:rFonts w:ascii="Century Gothic" w:eastAsia="Calibri" w:hAnsi="Century Gothic"/>
                                <w:b/>
                                <w:bCs/>
                                <w:color w:val="414149"/>
                                <w:kern w:val="24"/>
                                <w:sz w:val="16"/>
                                <w:szCs w:val="18"/>
                                <w:lang w:val="es-ES"/>
                              </w:rPr>
                              <w:t>Responsable Zonal ENESEM</w:t>
                            </w:r>
                          </w:p>
                        </w:txbxContent>
                      </v:textbox>
                    </v:roundrect>
                    <v:shape id="Conector recto de flecha 110" o:spid="_x0000_s1064" type="#_x0000_t32" style="position:absolute;left:15240;top:7429;width:0;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nrWMMAAADcAAAADwAAAGRycy9kb3ducmV2LnhtbESPTUvDQBCG74L/YRnBS2k3KVU0dltE&#10;EL2aVulxyI7Z0OxsyI5t+u+dg+Bthnk/nllvp9ibE425S+ygXBRgiJvkO24d7Hev8wcwWZA99onJ&#10;wYUybDfXV2usfDrzB51qaY2GcK7QQRAZKmtzEyhiXqSBWG/faYwouo6t9SOeNTz2dlkU9zZix9oQ&#10;cKCXQM2x/onaS/vlrL6bPa6Ob/h5+ApyWZXi3O3N9PwERmiSf/Gf+90rfqn4+oxOY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Z61jDAAAA3AAAAA8AAAAAAAAAAAAA&#10;AAAAoQIAAGRycy9kb3ducmV2LnhtbFBLBQYAAAAABAAEAPkAAACRAwAAAAA=&#10;" strokecolor="#4472c4 [3204]" strokeweight=".5pt">
                      <v:stroke endarrow="block" joinstyle="miter"/>
                    </v:shape>
                  </v:group>
                  <v:shape id="Conector recto de flecha 59" o:spid="_x0000_s1065" type="#_x0000_t32" style="position:absolute;left:36004;top:17272;width:0;height:42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t1L8QAAADcAAAADwAAAGRycy9kb3ducmV2LnhtbESPQWvCQBCF70L/wzKFXkQ3sbbY1FVK&#10;odSrqRWPQ3aaDWZnQ3aq8d+7hYK3Gd6b971ZrgffqhP1sQlsIJ9moIirYBuuDey+PiYLUFGQLbaB&#10;ycCFIqxXd6MlFjaceUunUmqVQjgWaMCJdIXWsXLkMU5DR5y0n9B7lLT2tbY9nlO4b/Usy561x4YT&#10;wWFH746qY/nrE5d2s3H5NH6ZHz/x+7B3cpnnYszD/fD2CkpokJv5/3pjU/38Ef6eSRPo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i3UvxAAAANwAAAAPAAAAAAAAAAAA&#10;AAAAAKECAABkcnMvZG93bnJldi54bWxQSwUGAAAAAAQABAD5AAAAkgMAAAAA&#10;" strokecolor="#4472c4 [3204]" strokeweight=".5pt">
                    <v:stroke endarrow="block" joinstyle="miter"/>
                  </v:shape>
                </v:group>
                <w10:wrap anchorx="margin"/>
              </v:group>
            </w:pict>
          </mc:Fallback>
        </mc:AlternateContent>
      </w:r>
    </w:p>
    <w:p w14:paraId="3CB4B8F2"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p>
    <w:p w14:paraId="7C27F5D3"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noProof/>
          <w:color w:val="6E6E7C"/>
          <w:sz w:val="21"/>
          <w:szCs w:val="21"/>
          <w:lang w:eastAsia="es-EC"/>
        </w:rPr>
        <mc:AlternateContent>
          <mc:Choice Requires="wps">
            <w:drawing>
              <wp:anchor distT="0" distB="0" distL="114300" distR="114300" simplePos="0" relativeHeight="251767808" behindDoc="0" locked="0" layoutInCell="1" allowOverlap="1" wp14:anchorId="0CA6E413" wp14:editId="79887727">
                <wp:simplePos x="0" y="0"/>
                <wp:positionH relativeFrom="column">
                  <wp:posOffset>2747586</wp:posOffset>
                </wp:positionH>
                <wp:positionV relativeFrom="paragraph">
                  <wp:posOffset>256829</wp:posOffset>
                </wp:positionV>
                <wp:extent cx="14251" cy="447625"/>
                <wp:effectExtent l="0" t="0" r="24130" b="29210"/>
                <wp:wrapNone/>
                <wp:docPr id="116" name="Conector recto 116"/>
                <wp:cNvGraphicFramePr/>
                <a:graphic xmlns:a="http://schemas.openxmlformats.org/drawingml/2006/main">
                  <a:graphicData uri="http://schemas.microsoft.com/office/word/2010/wordprocessingShape">
                    <wps:wsp>
                      <wps:cNvCnPr/>
                      <wps:spPr>
                        <a:xfrm>
                          <a:off x="0" y="0"/>
                          <a:ext cx="14251" cy="447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494C7B" id="Conector recto 116" o:spid="_x0000_s1026" style="position:absolute;z-index:251767808;visibility:visible;mso-wrap-style:square;mso-wrap-distance-left:9pt;mso-wrap-distance-top:0;mso-wrap-distance-right:9pt;mso-wrap-distance-bottom:0;mso-position-horizontal:absolute;mso-position-horizontal-relative:text;mso-position-vertical:absolute;mso-position-vertical-relative:text" from="216.35pt,20.2pt" to="217.45pt,5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" strokecolor="#4472c4 [3204]" strokeweight=".5pt">
                <v:stroke joinstyle="miter"/>
              </v:line>
            </w:pict>
          </mc:Fallback>
        </mc:AlternateContent>
      </w:r>
    </w:p>
    <w:p w14:paraId="240E9EA8"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p>
    <w:p w14:paraId="5FE9685F"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p>
    <w:p w14:paraId="18560072"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p>
    <w:p w14:paraId="365BD986"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r w:rsidRPr="00582936">
        <w:rPr>
          <w:rFonts w:ascii="Century Gothic" w:hAnsi="Century Gothic"/>
          <w:noProof/>
          <w:color w:val="6E6E7C"/>
          <w:lang w:eastAsia="es-EC"/>
        </w:rPr>
        <mc:AlternateContent>
          <mc:Choice Requires="wps">
            <w:drawing>
              <wp:anchor distT="0" distB="0" distL="114300" distR="114300" simplePos="0" relativeHeight="251771904" behindDoc="0" locked="0" layoutInCell="1" allowOverlap="1" wp14:anchorId="03501399" wp14:editId="320C94F2">
                <wp:simplePos x="0" y="0"/>
                <wp:positionH relativeFrom="column">
                  <wp:posOffset>1567372</wp:posOffset>
                </wp:positionH>
                <wp:positionV relativeFrom="paragraph">
                  <wp:posOffset>310323</wp:posOffset>
                </wp:positionV>
                <wp:extent cx="10633" cy="244549"/>
                <wp:effectExtent l="0" t="0" r="27940" b="22225"/>
                <wp:wrapNone/>
                <wp:docPr id="120" name="Conector recto 120"/>
                <wp:cNvGraphicFramePr/>
                <a:graphic xmlns:a="http://schemas.openxmlformats.org/drawingml/2006/main">
                  <a:graphicData uri="http://schemas.microsoft.com/office/word/2010/wordprocessingShape">
                    <wps:wsp>
                      <wps:cNvCnPr/>
                      <wps:spPr>
                        <a:xfrm>
                          <a:off x="0" y="0"/>
                          <a:ext cx="10633" cy="24454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0DA322" id="Conector recto 120" o:spid="_x0000_s1026" style="position:absolute;z-index:251771904;visibility:visible;mso-wrap-style:square;mso-wrap-distance-left:9pt;mso-wrap-distance-top:0;mso-wrap-distance-right:9pt;mso-wrap-distance-bottom:0;mso-position-horizontal:absolute;mso-position-horizontal-relative:text;mso-position-vertical:absolute;mso-position-vertical-relative:text" from="123.4pt,24.45pt" to="124.25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" strokecolor="#4472c4 [3204]" strokeweight=".5pt">
                <v:stroke joinstyle="miter"/>
              </v:line>
            </w:pict>
          </mc:Fallback>
        </mc:AlternateContent>
      </w:r>
      <w:r w:rsidRPr="00582936">
        <w:rPr>
          <w:rFonts w:ascii="Century Gothic" w:hAnsi="Century Gothic"/>
          <w:noProof/>
          <w:color w:val="6E6E7C"/>
          <w:lang w:eastAsia="es-EC"/>
        </w:rPr>
        <mc:AlternateContent>
          <mc:Choice Requires="wps">
            <w:drawing>
              <wp:anchor distT="0" distB="0" distL="114300" distR="114300" simplePos="0" relativeHeight="251766784" behindDoc="0" locked="0" layoutInCell="1" allowOverlap="1" wp14:anchorId="27BAE2E2" wp14:editId="479EAFD9">
                <wp:simplePos x="0" y="0"/>
                <wp:positionH relativeFrom="column">
                  <wp:posOffset>4189228</wp:posOffset>
                </wp:positionH>
                <wp:positionV relativeFrom="paragraph">
                  <wp:posOffset>311136</wp:posOffset>
                </wp:positionV>
                <wp:extent cx="0" cy="425146"/>
                <wp:effectExtent l="0" t="0" r="0" b="0"/>
                <wp:wrapNone/>
                <wp:docPr id="115" name="Conector recto de flecha 59"/>
                <wp:cNvGraphicFramePr/>
                <a:graphic xmlns:a="http://schemas.openxmlformats.org/drawingml/2006/main">
                  <a:graphicData uri="http://schemas.microsoft.com/office/word/2010/wordprocessingShape">
                    <wps:wsp>
                      <wps:cNvCnPr/>
                      <wps:spPr>
                        <a:xfrm>
                          <a:off x="0" y="0"/>
                          <a:ext cx="0" cy="42514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731C4B" id="Conector recto de flecha 59" o:spid="_x0000_s1026" type="#_x0000_t32" style="position:absolute;margin-left:329.85pt;margin-top:24.5pt;width:0;height:33.5pt;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" strokecolor="#4472c4 [3204]" strokeweight=".5pt">
                <v:stroke endarrow="block" joinstyle="miter"/>
              </v:shape>
            </w:pict>
          </mc:Fallback>
        </mc:AlternateContent>
      </w:r>
    </w:p>
    <w:p w14:paraId="7CB4C7C9"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r w:rsidRPr="00582936">
        <w:rPr>
          <w:rFonts w:ascii="Century Gothic" w:hAnsi="Century Gothic"/>
          <w:noProof/>
          <w:color w:val="6E6E7C"/>
          <w:lang w:eastAsia="es-EC"/>
        </w:rPr>
        <mc:AlternateContent>
          <mc:Choice Requires="wps">
            <w:drawing>
              <wp:anchor distT="0" distB="0" distL="114300" distR="114300" simplePos="0" relativeHeight="251770880" behindDoc="0" locked="0" layoutInCell="1" allowOverlap="1" wp14:anchorId="2DCCF711" wp14:editId="2B2F1BD9">
                <wp:simplePos x="0" y="0"/>
                <wp:positionH relativeFrom="column">
                  <wp:posOffset>2527138</wp:posOffset>
                </wp:positionH>
                <wp:positionV relativeFrom="paragraph">
                  <wp:posOffset>205105</wp:posOffset>
                </wp:positionV>
                <wp:extent cx="0" cy="180340"/>
                <wp:effectExtent l="76200" t="0" r="57150" b="48260"/>
                <wp:wrapNone/>
                <wp:docPr id="119" name="Conector recto de flecha 119"/>
                <wp:cNvGraphicFramePr/>
                <a:graphic xmlns:a="http://schemas.openxmlformats.org/drawingml/2006/main">
                  <a:graphicData uri="http://schemas.microsoft.com/office/word/2010/wordprocessingShape">
                    <wps:wsp>
                      <wps:cNvCnPr/>
                      <wps:spPr>
                        <a:xfrm>
                          <a:off x="0" y="0"/>
                          <a:ext cx="0" cy="1803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856B4F" id="Conector recto de flecha 119" o:spid="_x0000_s1026" type="#_x0000_t32" style="position:absolute;margin-left:199pt;margin-top:16.15pt;width:0;height:14.2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" strokecolor="#4472c4 [3204]" strokeweight=".5pt">
                <v:stroke endarrow="block" joinstyle="miter"/>
              </v:shape>
            </w:pict>
          </mc:Fallback>
        </mc:AlternateContent>
      </w:r>
      <w:r w:rsidRPr="00582936">
        <w:rPr>
          <w:rFonts w:ascii="Century Gothic" w:hAnsi="Century Gothic"/>
          <w:noProof/>
          <w:color w:val="6E6E7C"/>
          <w:lang w:eastAsia="es-EC"/>
        </w:rPr>
        <mc:AlternateContent>
          <mc:Choice Requires="wps">
            <w:drawing>
              <wp:anchor distT="0" distB="0" distL="114300" distR="114300" simplePos="0" relativeHeight="251769856" behindDoc="0" locked="0" layoutInCell="1" allowOverlap="1" wp14:anchorId="494C110C" wp14:editId="0636E290">
                <wp:simplePos x="0" y="0"/>
                <wp:positionH relativeFrom="column">
                  <wp:posOffset>535615</wp:posOffset>
                </wp:positionH>
                <wp:positionV relativeFrom="paragraph">
                  <wp:posOffset>214010</wp:posOffset>
                </wp:positionV>
                <wp:extent cx="0" cy="180955"/>
                <wp:effectExtent l="0" t="0" r="0" b="0"/>
                <wp:wrapNone/>
                <wp:docPr id="118" name="Conector recto de flecha 118"/>
                <wp:cNvGraphicFramePr/>
                <a:graphic xmlns:a="http://schemas.openxmlformats.org/drawingml/2006/main">
                  <a:graphicData uri="http://schemas.microsoft.com/office/word/2010/wordprocessingShape">
                    <wps:wsp>
                      <wps:cNvCnPr/>
                      <wps:spPr>
                        <a:xfrm>
                          <a:off x="0" y="0"/>
                          <a:ext cx="0" cy="1809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BD12D7" id="Conector recto de flecha 118" o:spid="_x0000_s1026" type="#_x0000_t32" style="position:absolute;margin-left:42.15pt;margin-top:16.85pt;width:0;height:14.25pt;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" strokecolor="#4472c4 [3204]" strokeweight=".5pt">
                <v:stroke endarrow="block" joinstyle="miter"/>
              </v:shape>
            </w:pict>
          </mc:Fallback>
        </mc:AlternateContent>
      </w:r>
      <w:r w:rsidRPr="00582936">
        <w:rPr>
          <w:rFonts w:ascii="Century Gothic" w:eastAsia="Calibri" w:hAnsi="Century Gothic" w:cs="Times New Roman"/>
          <w:bCs/>
          <w:iCs/>
          <w:noProof/>
          <w:color w:val="6E6E7C"/>
          <w:sz w:val="21"/>
          <w:szCs w:val="21"/>
          <w:lang w:eastAsia="es-EC"/>
        </w:rPr>
        <mc:AlternateContent>
          <mc:Choice Requires="wps">
            <w:drawing>
              <wp:anchor distT="0" distB="0" distL="114300" distR="114300" simplePos="0" relativeHeight="251768832" behindDoc="0" locked="0" layoutInCell="1" allowOverlap="1" wp14:anchorId="029E62B1" wp14:editId="113CD282">
                <wp:simplePos x="0" y="0"/>
                <wp:positionH relativeFrom="column">
                  <wp:posOffset>536014</wp:posOffset>
                </wp:positionH>
                <wp:positionV relativeFrom="paragraph">
                  <wp:posOffset>203879</wp:posOffset>
                </wp:positionV>
                <wp:extent cx="1988288" cy="10633"/>
                <wp:effectExtent l="0" t="0" r="31115" b="27940"/>
                <wp:wrapNone/>
                <wp:docPr id="117" name="Conector recto 117"/>
                <wp:cNvGraphicFramePr/>
                <a:graphic xmlns:a="http://schemas.openxmlformats.org/drawingml/2006/main">
                  <a:graphicData uri="http://schemas.microsoft.com/office/word/2010/wordprocessingShape">
                    <wps:wsp>
                      <wps:cNvCnPr/>
                      <wps:spPr>
                        <a:xfrm flipV="1">
                          <a:off x="0" y="0"/>
                          <a:ext cx="1988288" cy="1063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B073F2" id="Conector recto 117" o:spid="_x0000_s1026" style="position:absolute;flip:y;z-index:251768832;visibility:visible;mso-wrap-style:square;mso-wrap-distance-left:9pt;mso-wrap-distance-top:0;mso-wrap-distance-right:9pt;mso-wrap-distance-bottom:0;mso-position-horizontal:absolute;mso-position-horizontal-relative:text;mso-position-vertical:absolute;mso-position-vertical-relative:text" from="42.2pt,16.05pt" to="198.7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" strokecolor="#4472c4 [3204]" strokeweight=".5pt">
                <v:stroke joinstyle="miter"/>
              </v:line>
            </w:pict>
          </mc:Fallback>
        </mc:AlternateContent>
      </w:r>
    </w:p>
    <w:p w14:paraId="3E616F9E"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p>
    <w:p w14:paraId="3B03D525" w14:textId="77777777" w:rsidR="00AA05AF" w:rsidRPr="00582936" w:rsidRDefault="00AA05AF" w:rsidP="00AA05AF">
      <w:pPr>
        <w:pStyle w:val="Sinespaciado"/>
        <w:spacing w:after="0" w:line="240" w:lineRule="auto"/>
        <w:rPr>
          <w:rFonts w:cs="Calibri"/>
          <w:color w:val="6E6E7C"/>
          <w:sz w:val="16"/>
          <w:szCs w:val="16"/>
        </w:rPr>
      </w:pPr>
    </w:p>
    <w:p w14:paraId="1D14B0A1" w14:textId="77777777" w:rsidR="00AA05AF" w:rsidRPr="00582936" w:rsidRDefault="00AA05AF" w:rsidP="00AA05AF">
      <w:pPr>
        <w:pStyle w:val="Sinespaciado"/>
        <w:spacing w:after="0" w:line="240" w:lineRule="auto"/>
        <w:rPr>
          <w:rFonts w:cs="Calibri"/>
          <w:color w:val="6E6E7C"/>
          <w:sz w:val="16"/>
          <w:szCs w:val="16"/>
        </w:rPr>
      </w:pPr>
    </w:p>
    <w:p w14:paraId="3DC8CF34" w14:textId="77777777" w:rsidR="00AA05AF" w:rsidRPr="00582936" w:rsidRDefault="00AA05AF" w:rsidP="00AA05AF">
      <w:pPr>
        <w:pStyle w:val="Sinespaciado"/>
        <w:spacing w:after="0" w:line="240" w:lineRule="auto"/>
        <w:rPr>
          <w:b w:val="0"/>
          <w:color w:val="6E6E7C"/>
          <w:sz w:val="16"/>
          <w:szCs w:val="16"/>
        </w:rPr>
      </w:pPr>
      <w:r w:rsidRPr="00582936">
        <w:rPr>
          <w:rFonts w:cs="Calibri"/>
          <w:color w:val="6E6E7C"/>
          <w:sz w:val="16"/>
          <w:szCs w:val="16"/>
        </w:rPr>
        <w:t xml:space="preserve">Fuente: </w:t>
      </w:r>
      <w:r w:rsidRPr="00582936">
        <w:rPr>
          <w:b w:val="0"/>
          <w:color w:val="6E6E7C"/>
          <w:sz w:val="16"/>
          <w:szCs w:val="16"/>
        </w:rPr>
        <w:t>INEC</w:t>
      </w:r>
      <w:r w:rsidRPr="00582936">
        <w:rPr>
          <w:b w:val="0"/>
          <w:bCs w:val="0"/>
          <w:color w:val="6E6E7C"/>
          <w:sz w:val="16"/>
          <w:szCs w:val="16"/>
        </w:rPr>
        <w:t>, Encuesta Estructural Empresarial (ENESEM 2022).</w:t>
      </w:r>
    </w:p>
    <w:p w14:paraId="36AED068" w14:textId="5827D8CF" w:rsidR="00AA05AF" w:rsidRPr="002022CC" w:rsidRDefault="00AA05AF" w:rsidP="002022CC">
      <w:pPr>
        <w:pStyle w:val="Sinespaciado"/>
        <w:spacing w:after="0" w:line="240" w:lineRule="auto"/>
        <w:rPr>
          <w:rFonts w:cs="Calibri"/>
          <w:color w:val="6E6E7C"/>
          <w:sz w:val="16"/>
          <w:szCs w:val="16"/>
        </w:rPr>
      </w:pPr>
      <w:r w:rsidRPr="00582936">
        <w:rPr>
          <w:rFonts w:cs="Calibri"/>
          <w:color w:val="6E6E7C"/>
          <w:sz w:val="16"/>
          <w:szCs w:val="16"/>
        </w:rPr>
        <w:t xml:space="preserve">Elaboración: </w:t>
      </w:r>
      <w:r w:rsidRPr="00582936">
        <w:rPr>
          <w:rFonts w:cs="Calibri"/>
          <w:b w:val="0"/>
          <w:color w:val="6E6E7C"/>
          <w:sz w:val="16"/>
          <w:szCs w:val="16"/>
        </w:rPr>
        <w:t>Gestión de Estadísticas Estructurales (GESE).</w:t>
      </w:r>
    </w:p>
    <w:p w14:paraId="6B7E05D6"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 xml:space="preserve">Los equipos de encuestadores se encuentran bajo la supervisión de los técnicos zonales responsables, quienes, de acuerdo con los objetivos, planes de trabajo, metodología e instrumentos de la ENESEM, operan de manera consensuada con el responsable nacional. </w:t>
      </w:r>
    </w:p>
    <w:p w14:paraId="5CB2DDB3" w14:textId="77777777" w:rsidR="00AA05AF" w:rsidRPr="00582936" w:rsidRDefault="00AA05AF" w:rsidP="00AA05AF">
      <w:pPr>
        <w:spacing w:before="240" w:after="160" w:line="276"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lastRenderedPageBreak/>
        <w:t xml:space="preserve">Para el año de investigación 2022, se contó con el personal operativo (encuestadores), distribuidos de la siguiente manera: </w:t>
      </w:r>
    </w:p>
    <w:p w14:paraId="54EFF8B6" w14:textId="49B0C19D" w:rsidR="00AA05AF" w:rsidRPr="00582936" w:rsidRDefault="00AA05AF" w:rsidP="00661BE1">
      <w:pPr>
        <w:spacing w:before="240" w:after="160" w:line="276" w:lineRule="auto"/>
        <w:jc w:val="center"/>
        <w:rPr>
          <w:rFonts w:ascii="Century Gothic" w:eastAsia="Calibri" w:hAnsi="Century Gothic" w:cs="Arial"/>
          <w:iCs/>
          <w:color w:val="6E6E7C"/>
          <w:sz w:val="18"/>
          <w:szCs w:val="18"/>
        </w:rPr>
      </w:pPr>
      <w:bookmarkStart w:id="218" w:name="_Toc7095973"/>
      <w:bookmarkStart w:id="219" w:name="_Toc34318521"/>
      <w:bookmarkStart w:id="220" w:name="_Toc101420790"/>
      <w:bookmarkStart w:id="221" w:name="_Toc128467616"/>
      <w:bookmarkStart w:id="222" w:name="_Toc130899614"/>
      <w:bookmarkStart w:id="223" w:name="_Toc157006146"/>
      <w:bookmarkStart w:id="224" w:name="_Toc157006970"/>
      <w:bookmarkStart w:id="225" w:name="_Toc157368486"/>
      <w:bookmarkStart w:id="226" w:name="_Toc157585782"/>
      <w:bookmarkStart w:id="227" w:name="_Toc157671119"/>
      <w:bookmarkStart w:id="228" w:name="_Toc158206885"/>
      <w:bookmarkStart w:id="229" w:name="_Toc161322600"/>
      <w:r w:rsidRPr="00582936">
        <w:rPr>
          <w:rFonts w:ascii="Century Gothic" w:eastAsia="Calibri" w:hAnsi="Century Gothic" w:cs="Times New Roman"/>
          <w:b/>
          <w:bCs/>
          <w:iCs/>
          <w:color w:val="6E6E7C"/>
          <w:sz w:val="18"/>
          <w:szCs w:val="18"/>
        </w:rPr>
        <w:t xml:space="preserve">Tabla </w:t>
      </w:r>
      <w:r w:rsidRPr="00582936">
        <w:rPr>
          <w:rFonts w:ascii="Century Gothic" w:eastAsia="Calibri" w:hAnsi="Century Gothic" w:cs="Times New Roman"/>
          <w:b/>
          <w:bCs/>
          <w:iCs/>
          <w:color w:val="6E6E7C"/>
          <w:sz w:val="18"/>
          <w:szCs w:val="18"/>
        </w:rPr>
        <w:fldChar w:fldCharType="begin"/>
      </w:r>
      <w:r w:rsidRPr="00582936">
        <w:rPr>
          <w:rFonts w:ascii="Century Gothic" w:eastAsia="Calibri" w:hAnsi="Century Gothic" w:cs="Times New Roman"/>
          <w:b/>
          <w:bCs/>
          <w:iCs/>
          <w:color w:val="6E6E7C"/>
          <w:sz w:val="18"/>
          <w:szCs w:val="18"/>
        </w:rPr>
        <w:instrText xml:space="preserve"> SEQ Tabla \* ARABIC </w:instrText>
      </w:r>
      <w:r w:rsidRPr="00582936">
        <w:rPr>
          <w:rFonts w:ascii="Century Gothic" w:eastAsia="Calibri" w:hAnsi="Century Gothic" w:cs="Times New Roman"/>
          <w:b/>
          <w:bCs/>
          <w:iCs/>
          <w:color w:val="6E6E7C"/>
          <w:sz w:val="18"/>
          <w:szCs w:val="18"/>
        </w:rPr>
        <w:fldChar w:fldCharType="separate"/>
      </w:r>
      <w:r w:rsidR="00CF3585">
        <w:rPr>
          <w:rFonts w:ascii="Century Gothic" w:eastAsia="Calibri" w:hAnsi="Century Gothic" w:cs="Times New Roman"/>
          <w:b/>
          <w:bCs/>
          <w:iCs/>
          <w:noProof/>
          <w:color w:val="6E6E7C"/>
          <w:sz w:val="18"/>
          <w:szCs w:val="18"/>
        </w:rPr>
        <w:t>6</w:t>
      </w:r>
      <w:r w:rsidRPr="00582936">
        <w:rPr>
          <w:rFonts w:ascii="Century Gothic" w:eastAsia="Calibri" w:hAnsi="Century Gothic" w:cs="Times New Roman"/>
          <w:b/>
          <w:bCs/>
          <w:iCs/>
          <w:color w:val="6E6E7C"/>
          <w:sz w:val="18"/>
          <w:szCs w:val="18"/>
        </w:rPr>
        <w:fldChar w:fldCharType="end"/>
      </w:r>
      <w:r w:rsidRPr="00582936">
        <w:rPr>
          <w:rFonts w:ascii="Century Gothic" w:eastAsia="Calibri" w:hAnsi="Century Gothic" w:cs="Times New Roman"/>
          <w:b/>
          <w:bCs/>
          <w:iCs/>
          <w:color w:val="6E6E7C"/>
          <w:sz w:val="18"/>
          <w:szCs w:val="18"/>
        </w:rPr>
        <w:t>.</w:t>
      </w:r>
      <w:r w:rsidRPr="00582936">
        <w:rPr>
          <w:rFonts w:ascii="Century Gothic" w:eastAsia="Calibri" w:hAnsi="Century Gothic" w:cs="Arial"/>
          <w:iCs/>
          <w:color w:val="6E6E7C"/>
          <w:sz w:val="18"/>
          <w:szCs w:val="18"/>
        </w:rPr>
        <w:t xml:space="preserve"> Cargas de trabajo (número de empresas) según Zonal y personal contratado</w:t>
      </w:r>
      <w:bookmarkEnd w:id="218"/>
      <w:bookmarkEnd w:id="219"/>
      <w:r w:rsidRPr="00582936">
        <w:rPr>
          <w:rFonts w:ascii="Century Gothic" w:eastAsia="Calibri" w:hAnsi="Century Gothic" w:cs="Arial"/>
          <w:iCs/>
          <w:color w:val="6E6E7C"/>
          <w:sz w:val="18"/>
          <w:szCs w:val="18"/>
        </w:rPr>
        <w:t>.</w:t>
      </w:r>
      <w:bookmarkEnd w:id="220"/>
      <w:bookmarkEnd w:id="221"/>
      <w:bookmarkEnd w:id="222"/>
      <w:bookmarkEnd w:id="223"/>
      <w:bookmarkEnd w:id="224"/>
      <w:bookmarkEnd w:id="225"/>
      <w:bookmarkEnd w:id="226"/>
      <w:bookmarkEnd w:id="227"/>
      <w:bookmarkEnd w:id="228"/>
      <w:bookmarkEnd w:id="229"/>
    </w:p>
    <w:tbl>
      <w:tblPr>
        <w:tblStyle w:val="Tabladecuadrcula6concolores-nfasis11"/>
        <w:tblW w:w="7225" w:type="dxa"/>
        <w:tblInd w:w="694" w:type="dxa"/>
        <w:tblBorders>
          <w:top w:val="single" w:sz="4" w:space="0" w:color="767171"/>
          <w:left w:val="single" w:sz="4" w:space="0" w:color="767171"/>
          <w:bottom w:val="single" w:sz="4" w:space="0" w:color="767171"/>
          <w:right w:val="single" w:sz="4" w:space="0" w:color="767171"/>
          <w:insideH w:val="single" w:sz="4" w:space="0" w:color="767171"/>
          <w:insideV w:val="single" w:sz="4" w:space="0" w:color="767171"/>
        </w:tblBorders>
        <w:tblLook w:val="0600" w:firstRow="0" w:lastRow="0" w:firstColumn="0" w:lastColumn="0" w:noHBand="1" w:noVBand="1"/>
      </w:tblPr>
      <w:tblGrid>
        <w:gridCol w:w="2562"/>
        <w:gridCol w:w="2409"/>
        <w:gridCol w:w="2254"/>
      </w:tblGrid>
      <w:tr w:rsidR="00AA05AF" w:rsidRPr="00582936" w14:paraId="7AC852F5" w14:textId="77777777" w:rsidTr="00460317">
        <w:trPr>
          <w:trHeight w:val="403"/>
        </w:trPr>
        <w:tc>
          <w:tcPr>
            <w:tcW w:w="2562" w:type="dxa"/>
            <w:shd w:val="clear" w:color="auto" w:fill="4266CE"/>
            <w:vAlign w:val="center"/>
            <w:hideMark/>
          </w:tcPr>
          <w:p w14:paraId="15255269" w14:textId="77777777" w:rsidR="00AA05AF" w:rsidRPr="00460317" w:rsidRDefault="00AA05AF" w:rsidP="009442BC">
            <w:pPr>
              <w:jc w:val="center"/>
              <w:rPr>
                <w:rFonts w:eastAsia="Calibri" w:cs="Times New Roman"/>
                <w:b/>
                <w:bCs/>
                <w:iCs/>
                <w:color w:val="FFFFFF" w:themeColor="background1"/>
                <w:sz w:val="16"/>
                <w:szCs w:val="16"/>
              </w:rPr>
            </w:pPr>
            <w:r w:rsidRPr="00460317">
              <w:rPr>
                <w:rFonts w:eastAsia="Calibri" w:cs="Times New Roman"/>
                <w:b/>
                <w:bCs/>
                <w:iCs/>
                <w:color w:val="FFFFFF" w:themeColor="background1"/>
                <w:sz w:val="16"/>
                <w:szCs w:val="16"/>
              </w:rPr>
              <w:t>Coordinación Zonal</w:t>
            </w:r>
          </w:p>
        </w:tc>
        <w:tc>
          <w:tcPr>
            <w:tcW w:w="2409" w:type="dxa"/>
            <w:shd w:val="clear" w:color="auto" w:fill="4266CE"/>
            <w:vAlign w:val="center"/>
            <w:hideMark/>
          </w:tcPr>
          <w:p w14:paraId="53D73606" w14:textId="77777777" w:rsidR="00AA05AF" w:rsidRPr="00460317" w:rsidRDefault="00AA05AF" w:rsidP="009442BC">
            <w:pPr>
              <w:jc w:val="center"/>
              <w:rPr>
                <w:rFonts w:eastAsia="Calibri" w:cs="Times New Roman"/>
                <w:b/>
                <w:bCs/>
                <w:iCs/>
                <w:color w:val="FFFFFF" w:themeColor="background1"/>
                <w:sz w:val="16"/>
                <w:szCs w:val="16"/>
              </w:rPr>
            </w:pPr>
            <w:r w:rsidRPr="00460317">
              <w:rPr>
                <w:rFonts w:eastAsia="Calibri" w:cs="Times New Roman"/>
                <w:b/>
                <w:bCs/>
                <w:iCs/>
                <w:color w:val="FFFFFF" w:themeColor="background1"/>
                <w:sz w:val="16"/>
                <w:szCs w:val="16"/>
              </w:rPr>
              <w:t>Encuestadores</w:t>
            </w:r>
          </w:p>
        </w:tc>
        <w:tc>
          <w:tcPr>
            <w:tcW w:w="2254" w:type="dxa"/>
            <w:shd w:val="clear" w:color="auto" w:fill="4266CE"/>
            <w:noWrap/>
            <w:vAlign w:val="center"/>
            <w:hideMark/>
          </w:tcPr>
          <w:p w14:paraId="024060A5" w14:textId="77777777" w:rsidR="00AA05AF" w:rsidRPr="00460317" w:rsidRDefault="00AA05AF" w:rsidP="009442BC">
            <w:pPr>
              <w:jc w:val="center"/>
              <w:rPr>
                <w:rFonts w:eastAsia="Calibri" w:cs="Times New Roman"/>
                <w:b/>
                <w:bCs/>
                <w:iCs/>
                <w:color w:val="FFFFFF" w:themeColor="background1"/>
                <w:sz w:val="16"/>
                <w:szCs w:val="16"/>
              </w:rPr>
            </w:pPr>
            <w:r w:rsidRPr="00460317">
              <w:rPr>
                <w:rFonts w:eastAsia="Calibri" w:cs="Times New Roman"/>
                <w:b/>
                <w:bCs/>
                <w:iCs/>
                <w:color w:val="FFFFFF" w:themeColor="background1"/>
                <w:sz w:val="16"/>
                <w:szCs w:val="16"/>
              </w:rPr>
              <w:t>Carga (número de empresas) promedio de trabajo</w:t>
            </w:r>
          </w:p>
        </w:tc>
      </w:tr>
      <w:tr w:rsidR="00AA05AF" w:rsidRPr="00582936" w14:paraId="771A178D" w14:textId="77777777" w:rsidTr="009442BC">
        <w:trPr>
          <w:trHeight w:val="208"/>
        </w:trPr>
        <w:tc>
          <w:tcPr>
            <w:tcW w:w="2562" w:type="dxa"/>
            <w:vAlign w:val="center"/>
            <w:hideMark/>
          </w:tcPr>
          <w:p w14:paraId="722389F9" w14:textId="77777777" w:rsidR="00AA05AF" w:rsidRPr="00582936" w:rsidRDefault="00AA05AF" w:rsidP="009442BC">
            <w:pPr>
              <w:rPr>
                <w:rFonts w:eastAsia="Calibri" w:cs="Times New Roman"/>
                <w:iCs/>
                <w:color w:val="6E6E7C"/>
                <w:sz w:val="16"/>
                <w:szCs w:val="16"/>
              </w:rPr>
            </w:pPr>
            <w:r w:rsidRPr="00582936">
              <w:rPr>
                <w:rFonts w:eastAsia="Calibri" w:cs="Times New Roman"/>
                <w:iCs/>
                <w:color w:val="6E6E7C"/>
                <w:sz w:val="16"/>
                <w:szCs w:val="16"/>
              </w:rPr>
              <w:t>Litoral</w:t>
            </w:r>
          </w:p>
        </w:tc>
        <w:tc>
          <w:tcPr>
            <w:tcW w:w="2409" w:type="dxa"/>
          </w:tcPr>
          <w:p w14:paraId="587107DF"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16</w:t>
            </w:r>
          </w:p>
        </w:tc>
        <w:tc>
          <w:tcPr>
            <w:tcW w:w="2254" w:type="dxa"/>
            <w:noWrap/>
            <w:vAlign w:val="center"/>
          </w:tcPr>
          <w:p w14:paraId="0347DDF1"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119</w:t>
            </w:r>
          </w:p>
        </w:tc>
      </w:tr>
      <w:tr w:rsidR="00AA05AF" w:rsidRPr="00582936" w14:paraId="2D3198D2" w14:textId="77777777" w:rsidTr="009442BC">
        <w:trPr>
          <w:trHeight w:val="208"/>
        </w:trPr>
        <w:tc>
          <w:tcPr>
            <w:tcW w:w="2562" w:type="dxa"/>
            <w:vAlign w:val="center"/>
            <w:hideMark/>
          </w:tcPr>
          <w:p w14:paraId="3F06747C" w14:textId="77777777" w:rsidR="00AA05AF" w:rsidRPr="00582936" w:rsidRDefault="00AA05AF" w:rsidP="009442BC">
            <w:pPr>
              <w:rPr>
                <w:rFonts w:eastAsia="Calibri" w:cs="Times New Roman"/>
                <w:iCs/>
                <w:color w:val="6E6E7C"/>
                <w:sz w:val="16"/>
                <w:szCs w:val="16"/>
              </w:rPr>
            </w:pPr>
            <w:r w:rsidRPr="00582936">
              <w:rPr>
                <w:rFonts w:eastAsia="Calibri" w:cs="Times New Roman"/>
                <w:iCs/>
                <w:color w:val="6E6E7C"/>
                <w:sz w:val="16"/>
                <w:szCs w:val="16"/>
              </w:rPr>
              <w:t>Ac Campo</w:t>
            </w:r>
          </w:p>
        </w:tc>
        <w:tc>
          <w:tcPr>
            <w:tcW w:w="2409" w:type="dxa"/>
          </w:tcPr>
          <w:p w14:paraId="75AF97FA"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15</w:t>
            </w:r>
          </w:p>
        </w:tc>
        <w:tc>
          <w:tcPr>
            <w:tcW w:w="2254" w:type="dxa"/>
            <w:noWrap/>
            <w:vAlign w:val="center"/>
          </w:tcPr>
          <w:p w14:paraId="6C665757"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112</w:t>
            </w:r>
          </w:p>
        </w:tc>
      </w:tr>
      <w:tr w:rsidR="00AA05AF" w:rsidRPr="00582936" w14:paraId="4750D9DB" w14:textId="77777777" w:rsidTr="009442BC">
        <w:trPr>
          <w:trHeight w:val="208"/>
        </w:trPr>
        <w:tc>
          <w:tcPr>
            <w:tcW w:w="2562" w:type="dxa"/>
            <w:vAlign w:val="center"/>
            <w:hideMark/>
          </w:tcPr>
          <w:p w14:paraId="62C07FA3" w14:textId="77777777" w:rsidR="00AA05AF" w:rsidRPr="00582936" w:rsidRDefault="00AA05AF" w:rsidP="009442BC">
            <w:pPr>
              <w:rPr>
                <w:rFonts w:eastAsia="Calibri" w:cs="Times New Roman"/>
                <w:iCs/>
                <w:color w:val="6E6E7C"/>
                <w:sz w:val="16"/>
                <w:szCs w:val="16"/>
              </w:rPr>
            </w:pPr>
            <w:r w:rsidRPr="00582936">
              <w:rPr>
                <w:rFonts w:eastAsia="Calibri" w:cs="Times New Roman"/>
                <w:iCs/>
                <w:color w:val="6E6E7C"/>
                <w:sz w:val="16"/>
                <w:szCs w:val="16"/>
              </w:rPr>
              <w:t>Sur</w:t>
            </w:r>
          </w:p>
        </w:tc>
        <w:tc>
          <w:tcPr>
            <w:tcW w:w="2409" w:type="dxa"/>
          </w:tcPr>
          <w:p w14:paraId="0DED77C5"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5</w:t>
            </w:r>
          </w:p>
        </w:tc>
        <w:tc>
          <w:tcPr>
            <w:tcW w:w="2254" w:type="dxa"/>
            <w:noWrap/>
            <w:vAlign w:val="center"/>
          </w:tcPr>
          <w:p w14:paraId="6A187517"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103</w:t>
            </w:r>
          </w:p>
        </w:tc>
      </w:tr>
      <w:tr w:rsidR="00AA05AF" w:rsidRPr="00582936" w14:paraId="2B491FE1" w14:textId="77777777" w:rsidTr="009442BC">
        <w:trPr>
          <w:trHeight w:val="208"/>
        </w:trPr>
        <w:tc>
          <w:tcPr>
            <w:tcW w:w="2562" w:type="dxa"/>
            <w:vAlign w:val="center"/>
            <w:hideMark/>
          </w:tcPr>
          <w:p w14:paraId="03C292FC" w14:textId="77777777" w:rsidR="00AA05AF" w:rsidRPr="00582936" w:rsidRDefault="00AA05AF" w:rsidP="009442BC">
            <w:pPr>
              <w:rPr>
                <w:rFonts w:eastAsia="Calibri" w:cs="Times New Roman"/>
                <w:iCs/>
                <w:color w:val="6E6E7C"/>
                <w:sz w:val="16"/>
                <w:szCs w:val="16"/>
              </w:rPr>
            </w:pPr>
            <w:r w:rsidRPr="00582936">
              <w:rPr>
                <w:rFonts w:eastAsia="Calibri" w:cs="Times New Roman"/>
                <w:iCs/>
                <w:color w:val="6E6E7C"/>
                <w:sz w:val="16"/>
                <w:szCs w:val="16"/>
              </w:rPr>
              <w:t>Centro</w:t>
            </w:r>
          </w:p>
        </w:tc>
        <w:tc>
          <w:tcPr>
            <w:tcW w:w="2409" w:type="dxa"/>
          </w:tcPr>
          <w:p w14:paraId="5A8D7AA7"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2</w:t>
            </w:r>
          </w:p>
        </w:tc>
        <w:tc>
          <w:tcPr>
            <w:tcW w:w="2254" w:type="dxa"/>
            <w:noWrap/>
            <w:vAlign w:val="center"/>
          </w:tcPr>
          <w:p w14:paraId="00A73FD9" w14:textId="77777777" w:rsidR="00AA05AF" w:rsidRPr="00582936" w:rsidRDefault="00AA05AF" w:rsidP="009442BC">
            <w:pPr>
              <w:jc w:val="center"/>
              <w:rPr>
                <w:rFonts w:eastAsia="Calibri" w:cs="Times New Roman"/>
                <w:iCs/>
                <w:color w:val="6E6E7C"/>
                <w:sz w:val="16"/>
                <w:szCs w:val="16"/>
              </w:rPr>
            </w:pPr>
            <w:r w:rsidRPr="00582936">
              <w:rPr>
                <w:rFonts w:eastAsia="Calibri" w:cs="Times New Roman"/>
                <w:iCs/>
                <w:color w:val="6E6E7C"/>
                <w:sz w:val="16"/>
                <w:szCs w:val="16"/>
              </w:rPr>
              <w:t>94</w:t>
            </w:r>
          </w:p>
        </w:tc>
      </w:tr>
      <w:tr w:rsidR="00AA05AF" w:rsidRPr="00582936" w14:paraId="0DEC3309" w14:textId="77777777" w:rsidTr="009442BC">
        <w:trPr>
          <w:trHeight w:val="208"/>
        </w:trPr>
        <w:tc>
          <w:tcPr>
            <w:tcW w:w="2562" w:type="dxa"/>
            <w:vAlign w:val="center"/>
            <w:hideMark/>
          </w:tcPr>
          <w:p w14:paraId="2F58CF7C" w14:textId="77777777" w:rsidR="00AA05AF" w:rsidRPr="00582936" w:rsidRDefault="00AA05AF" w:rsidP="009442BC">
            <w:pPr>
              <w:rPr>
                <w:rFonts w:eastAsia="Calibri" w:cs="Times New Roman"/>
                <w:b/>
                <w:iCs/>
                <w:color w:val="6E6E7C"/>
                <w:sz w:val="16"/>
                <w:szCs w:val="16"/>
              </w:rPr>
            </w:pPr>
            <w:r w:rsidRPr="00582936">
              <w:rPr>
                <w:rFonts w:eastAsia="Calibri" w:cs="Times New Roman"/>
                <w:b/>
                <w:iCs/>
                <w:color w:val="6E6E7C"/>
                <w:sz w:val="16"/>
                <w:szCs w:val="16"/>
              </w:rPr>
              <w:t>Total</w:t>
            </w:r>
          </w:p>
        </w:tc>
        <w:tc>
          <w:tcPr>
            <w:tcW w:w="2409" w:type="dxa"/>
          </w:tcPr>
          <w:p w14:paraId="7D1C97BB" w14:textId="77777777" w:rsidR="00AA05AF" w:rsidRPr="00582936" w:rsidRDefault="00AA05AF" w:rsidP="009442BC">
            <w:pPr>
              <w:jc w:val="center"/>
              <w:rPr>
                <w:rFonts w:eastAsia="Calibri" w:cs="Times New Roman"/>
                <w:b/>
                <w:iCs/>
                <w:color w:val="6E6E7C"/>
                <w:sz w:val="16"/>
                <w:szCs w:val="16"/>
              </w:rPr>
            </w:pPr>
            <w:r w:rsidRPr="00582936">
              <w:rPr>
                <w:rFonts w:eastAsia="Calibri" w:cs="Times New Roman"/>
                <w:b/>
                <w:iCs/>
                <w:color w:val="6E6E7C"/>
                <w:sz w:val="16"/>
                <w:szCs w:val="16"/>
              </w:rPr>
              <w:t>38</w:t>
            </w:r>
          </w:p>
        </w:tc>
        <w:tc>
          <w:tcPr>
            <w:tcW w:w="2254" w:type="dxa"/>
            <w:noWrap/>
            <w:vAlign w:val="center"/>
          </w:tcPr>
          <w:p w14:paraId="4CF5D4A9" w14:textId="77777777" w:rsidR="00AA05AF" w:rsidRPr="00582936" w:rsidRDefault="00AA05AF" w:rsidP="009442BC">
            <w:pPr>
              <w:ind w:left="708" w:hanging="708"/>
              <w:jc w:val="center"/>
              <w:rPr>
                <w:rFonts w:eastAsia="Calibri" w:cs="Times New Roman"/>
                <w:b/>
                <w:iCs/>
                <w:color w:val="6E6E7C"/>
                <w:sz w:val="16"/>
                <w:szCs w:val="16"/>
              </w:rPr>
            </w:pPr>
            <w:r>
              <w:rPr>
                <w:rFonts w:eastAsia="Calibri" w:cs="Times New Roman"/>
                <w:b/>
                <w:iCs/>
                <w:color w:val="6E6E7C"/>
                <w:sz w:val="16"/>
                <w:szCs w:val="16"/>
              </w:rPr>
              <w:t>113</w:t>
            </w:r>
          </w:p>
        </w:tc>
      </w:tr>
    </w:tbl>
    <w:p w14:paraId="396E995E" w14:textId="77777777" w:rsidR="00AA05AF" w:rsidRPr="00582936" w:rsidRDefault="00AA05AF" w:rsidP="00AA05AF">
      <w:pPr>
        <w:spacing w:line="276" w:lineRule="auto"/>
        <w:ind w:right="4"/>
        <w:contextualSpacing/>
        <w:rPr>
          <w:rFonts w:ascii="Century Gothic" w:eastAsia="Calibri" w:hAnsi="Century Gothic" w:cs="Calibri"/>
          <w:iCs/>
          <w:color w:val="6E6E7C"/>
          <w:sz w:val="16"/>
          <w:szCs w:val="16"/>
        </w:rPr>
      </w:pPr>
      <w:bookmarkStart w:id="230" w:name="_Toc7095961"/>
      <w:r w:rsidRPr="00582936">
        <w:rPr>
          <w:rFonts w:ascii="Century Gothic" w:eastAsia="Calibri" w:hAnsi="Century Gothic" w:cs="Calibri"/>
          <w:b/>
          <w:iCs/>
          <w:color w:val="6E6E7C"/>
          <w:sz w:val="16"/>
          <w:szCs w:val="16"/>
        </w:rPr>
        <w:t xml:space="preserve">Fuente: </w:t>
      </w:r>
      <w:r w:rsidRPr="00582936">
        <w:rPr>
          <w:rFonts w:ascii="Century Gothic" w:eastAsia="Calibri" w:hAnsi="Century Gothic" w:cs="Times New Roman"/>
          <w:bCs/>
          <w:iCs/>
          <w:color w:val="6E6E7C"/>
          <w:sz w:val="16"/>
          <w:szCs w:val="16"/>
        </w:rPr>
        <w:t>INEC, Encuesta Estructural Empresarial (ENESEM 2022).</w:t>
      </w:r>
    </w:p>
    <w:p w14:paraId="62FE6E5B" w14:textId="77777777" w:rsidR="00AA05AF" w:rsidRPr="00582936" w:rsidRDefault="00AA05AF" w:rsidP="00AA05AF">
      <w:pPr>
        <w:spacing w:after="200" w:line="276" w:lineRule="auto"/>
        <w:ind w:right="4"/>
        <w:contextualSpacing/>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Elaboración:</w:t>
      </w:r>
      <w:r w:rsidRPr="00582936">
        <w:rPr>
          <w:rFonts w:ascii="Century Gothic" w:eastAsia="Calibri" w:hAnsi="Century Gothic" w:cs="Calibri"/>
          <w:iCs/>
          <w:color w:val="6E6E7C"/>
          <w:sz w:val="16"/>
          <w:szCs w:val="16"/>
        </w:rPr>
        <w:t xml:space="preserve"> Gestión de Estadísticas Estructurales (GESE).</w:t>
      </w:r>
    </w:p>
    <w:p w14:paraId="0A8BD58B" w14:textId="77777777" w:rsidR="00AA05AF" w:rsidRPr="00AA05AF" w:rsidRDefault="00AA05AF" w:rsidP="00E5524A">
      <w:pPr>
        <w:pStyle w:val="Prrafodelista"/>
        <w:keepNext/>
        <w:keepLines/>
        <w:numPr>
          <w:ilvl w:val="2"/>
          <w:numId w:val="42"/>
        </w:numPr>
        <w:tabs>
          <w:tab w:val="left" w:pos="567"/>
        </w:tabs>
        <w:spacing w:before="240" w:after="120"/>
        <w:ind w:left="709" w:hanging="709"/>
        <w:outlineLvl w:val="2"/>
        <w:rPr>
          <w:rFonts w:ascii="Century Gothic" w:hAnsi="Century Gothic"/>
          <w:b/>
          <w:bCs/>
          <w:color w:val="6E6E7C"/>
          <w:sz w:val="26"/>
          <w:szCs w:val="26"/>
        </w:rPr>
      </w:pPr>
      <w:bookmarkStart w:id="231" w:name="_Toc161322564"/>
      <w:bookmarkEnd w:id="230"/>
      <w:r>
        <w:rPr>
          <w:rFonts w:ascii="Century Gothic" w:hAnsi="Century Gothic"/>
          <w:b/>
          <w:bCs/>
          <w:color w:val="6E6E7C"/>
          <w:sz w:val="26"/>
          <w:szCs w:val="26"/>
        </w:rPr>
        <w:t>Plan de socialización y sensibilización</w:t>
      </w:r>
      <w:bookmarkEnd w:id="231"/>
    </w:p>
    <w:p w14:paraId="318BDF4F" w14:textId="77777777" w:rsidR="006A74FA" w:rsidRPr="00582936" w:rsidRDefault="006A74FA" w:rsidP="006A74FA">
      <w:p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La presentación institucional hacia los informantes se realiza mediante oficio-circular, a fin de sensibilizar y socializar a la población objetivo acerca de la relevancia, necesidad y características operativas de la encuesta. Este documento contiene:</w:t>
      </w:r>
    </w:p>
    <w:p w14:paraId="5E029ACF" w14:textId="77777777" w:rsidR="006A74FA" w:rsidRPr="00582936" w:rsidRDefault="006A74FA" w:rsidP="00E5524A">
      <w:pPr>
        <w:numPr>
          <w:ilvl w:val="0"/>
          <w:numId w:val="17"/>
        </w:numPr>
        <w:autoSpaceDE w:val="0"/>
        <w:autoSpaceDN w:val="0"/>
        <w:adjustRightInd w:val="0"/>
        <w:spacing w:after="24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Nombre de representante de la empresa.</w:t>
      </w:r>
    </w:p>
    <w:p w14:paraId="24F9F17C" w14:textId="77777777" w:rsidR="006A74FA" w:rsidRPr="00582936" w:rsidRDefault="006A74FA" w:rsidP="00E5524A">
      <w:pPr>
        <w:numPr>
          <w:ilvl w:val="0"/>
          <w:numId w:val="17"/>
        </w:numPr>
        <w:autoSpaceDE w:val="0"/>
        <w:autoSpaceDN w:val="0"/>
        <w:adjustRightInd w:val="0"/>
        <w:spacing w:after="24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Razón social de la empresa a investigar.</w:t>
      </w:r>
    </w:p>
    <w:p w14:paraId="23B1E64F" w14:textId="77777777" w:rsidR="006A74FA" w:rsidRPr="00582936" w:rsidRDefault="006A74FA" w:rsidP="00E5524A">
      <w:pPr>
        <w:numPr>
          <w:ilvl w:val="0"/>
          <w:numId w:val="17"/>
        </w:numPr>
        <w:autoSpaceDE w:val="0"/>
        <w:autoSpaceDN w:val="0"/>
        <w:adjustRightInd w:val="0"/>
        <w:spacing w:after="24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Objetivo de la ENESEM y solicitud de la información del año de referencia.</w:t>
      </w:r>
    </w:p>
    <w:p w14:paraId="7ADD2A61" w14:textId="77777777" w:rsidR="006A74FA" w:rsidRPr="00582936" w:rsidRDefault="006A74FA" w:rsidP="00E5524A">
      <w:pPr>
        <w:numPr>
          <w:ilvl w:val="0"/>
          <w:numId w:val="17"/>
        </w:numPr>
        <w:autoSpaceDE w:val="0"/>
        <w:autoSpaceDN w:val="0"/>
        <w:adjustRightInd w:val="0"/>
        <w:spacing w:after="24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Link del aplicativo INFOCAPT-Estructurales para el registro de la información.</w:t>
      </w:r>
    </w:p>
    <w:p w14:paraId="11AFC899" w14:textId="77777777" w:rsidR="006A74FA" w:rsidRPr="00582936" w:rsidRDefault="006A74FA" w:rsidP="00E5524A">
      <w:pPr>
        <w:numPr>
          <w:ilvl w:val="0"/>
          <w:numId w:val="17"/>
        </w:numPr>
        <w:autoSpaceDE w:val="0"/>
        <w:autoSpaceDN w:val="0"/>
        <w:adjustRightInd w:val="0"/>
        <w:spacing w:after="24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Datos de contacto del INEC para la asistencia en el llenado.</w:t>
      </w:r>
    </w:p>
    <w:p w14:paraId="1FAF44B7" w14:textId="77777777" w:rsidR="006A74FA" w:rsidRDefault="006A74FA" w:rsidP="00E5524A">
      <w:pPr>
        <w:numPr>
          <w:ilvl w:val="0"/>
          <w:numId w:val="17"/>
        </w:numPr>
        <w:autoSpaceDE w:val="0"/>
        <w:autoSpaceDN w:val="0"/>
        <w:adjustRightInd w:val="0"/>
        <w:spacing w:after="24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El plazo de entrega de la información completa de</w:t>
      </w:r>
      <w:r>
        <w:rPr>
          <w:rFonts w:ascii="Century Gothic" w:eastAsia="Calibri" w:hAnsi="Century Gothic" w:cs="Calibri"/>
          <w:iCs/>
          <w:color w:val="6E6E7C"/>
          <w:sz w:val="21"/>
          <w:szCs w:val="21"/>
        </w:rPr>
        <w:t xml:space="preserve"> la</w:t>
      </w:r>
      <w:r w:rsidRPr="00582936">
        <w:rPr>
          <w:rFonts w:ascii="Century Gothic" w:eastAsia="Calibri" w:hAnsi="Century Gothic" w:cs="Calibri"/>
          <w:iCs/>
          <w:color w:val="6E6E7C"/>
          <w:sz w:val="21"/>
          <w:szCs w:val="21"/>
        </w:rPr>
        <w:t xml:space="preserve"> encuesta.</w:t>
      </w:r>
    </w:p>
    <w:p w14:paraId="21EBDDA0" w14:textId="77777777" w:rsidR="00D47302" w:rsidRPr="00582936" w:rsidRDefault="00D47302" w:rsidP="00D47302">
      <w:pPr>
        <w:autoSpaceDE w:val="0"/>
        <w:autoSpaceDN w:val="0"/>
        <w:adjustRightInd w:val="0"/>
        <w:spacing w:after="240" w:line="276" w:lineRule="auto"/>
        <w:ind w:left="1068"/>
        <w:contextualSpacing/>
        <w:jc w:val="both"/>
        <w:rPr>
          <w:rFonts w:ascii="Century Gothic" w:eastAsia="Calibri" w:hAnsi="Century Gothic" w:cs="Calibri"/>
          <w:iCs/>
          <w:color w:val="6E6E7C"/>
          <w:sz w:val="21"/>
          <w:szCs w:val="21"/>
        </w:rPr>
      </w:pPr>
    </w:p>
    <w:p w14:paraId="70A1FEFD" w14:textId="77777777" w:rsidR="006A74FA" w:rsidRPr="00582936" w:rsidRDefault="006A74FA" w:rsidP="006A74FA">
      <w:pPr>
        <w:spacing w:after="240"/>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La socialización y entrega de oficios a las empresas se realiza principalmente por correo electrónico, Sistema de gestión documental (</w:t>
      </w:r>
      <w:proofErr w:type="spellStart"/>
      <w:r w:rsidRPr="00582936">
        <w:rPr>
          <w:rFonts w:ascii="Century Gothic" w:eastAsia="Calibri" w:hAnsi="Century Gothic" w:cs="Calibri"/>
          <w:iCs/>
          <w:color w:val="6E6E7C"/>
          <w:sz w:val="21"/>
          <w:szCs w:val="21"/>
        </w:rPr>
        <w:t>Quipux</w:t>
      </w:r>
      <w:proofErr w:type="spellEnd"/>
      <w:r w:rsidRPr="00582936">
        <w:rPr>
          <w:rFonts w:ascii="Century Gothic" w:eastAsia="Calibri" w:hAnsi="Century Gothic" w:cs="Calibri"/>
          <w:iCs/>
          <w:color w:val="6E6E7C"/>
          <w:sz w:val="21"/>
          <w:szCs w:val="21"/>
        </w:rPr>
        <w:t>), y otros medios digitales.</w:t>
      </w:r>
    </w:p>
    <w:p w14:paraId="11C03523" w14:textId="77777777" w:rsidR="006A74FA" w:rsidRPr="002022CC" w:rsidRDefault="006A74FA" w:rsidP="006A74FA">
      <w:pPr>
        <w:spacing w:after="240"/>
        <w:jc w:val="both"/>
        <w:rPr>
          <w:rFonts w:ascii="Century Gothic" w:eastAsia="Dotum" w:hAnsi="Century Gothic" w:cs="Times New Roman"/>
          <w:b/>
          <w:bCs/>
          <w:iCs/>
          <w:color w:val="6E6E7C"/>
          <w:sz w:val="2"/>
          <w:szCs w:val="21"/>
        </w:rPr>
      </w:pPr>
    </w:p>
    <w:p w14:paraId="15C331B2" w14:textId="77777777" w:rsidR="00B96AC8" w:rsidRDefault="00B96AC8" w:rsidP="00E5524A">
      <w:pPr>
        <w:pStyle w:val="Prrafodelista"/>
        <w:keepNext/>
        <w:keepLines/>
        <w:numPr>
          <w:ilvl w:val="2"/>
          <w:numId w:val="42"/>
        </w:numPr>
        <w:tabs>
          <w:tab w:val="left" w:pos="567"/>
        </w:tabs>
        <w:spacing w:before="240" w:after="120"/>
        <w:ind w:left="709" w:hanging="709"/>
        <w:outlineLvl w:val="2"/>
        <w:rPr>
          <w:rFonts w:ascii="Century Gothic" w:hAnsi="Century Gothic"/>
          <w:b/>
          <w:bCs/>
          <w:color w:val="6E6E7C"/>
          <w:sz w:val="26"/>
          <w:szCs w:val="26"/>
        </w:rPr>
      </w:pPr>
      <w:bookmarkStart w:id="232" w:name="_Toc161322565"/>
      <w:r>
        <w:rPr>
          <w:rFonts w:ascii="Century Gothic" w:hAnsi="Century Gothic"/>
          <w:b/>
          <w:bCs/>
          <w:color w:val="6E6E7C"/>
          <w:sz w:val="26"/>
          <w:szCs w:val="26"/>
        </w:rPr>
        <w:t>Instrumentos de control y monitoreo para supervisión</w:t>
      </w:r>
      <w:bookmarkEnd w:id="232"/>
    </w:p>
    <w:p w14:paraId="7C56330E" w14:textId="77777777" w:rsidR="006A74FA" w:rsidRPr="00582936" w:rsidRDefault="006A74FA" w:rsidP="006A74FA">
      <w:pPr>
        <w:spacing w:after="200" w:line="276" w:lineRule="auto"/>
        <w:contextualSpacing/>
        <w:jc w:val="both"/>
        <w:rPr>
          <w:rFonts w:ascii="Century Gothic" w:eastAsia="Dotum" w:hAnsi="Century Gothic" w:cs="Times New Roman"/>
          <w:b/>
          <w:bCs/>
          <w:iCs/>
          <w:color w:val="6E6E7C"/>
          <w:szCs w:val="21"/>
        </w:rPr>
      </w:pPr>
      <w:r w:rsidRPr="00582936">
        <w:rPr>
          <w:rFonts w:ascii="Century Gothic" w:eastAsia="Dotum" w:hAnsi="Century Gothic" w:cs="Times New Roman"/>
          <w:b/>
          <w:bCs/>
          <w:iCs/>
          <w:color w:val="6E6E7C"/>
          <w:szCs w:val="21"/>
        </w:rPr>
        <w:t xml:space="preserve">Supervisión nacional </w:t>
      </w:r>
    </w:p>
    <w:p w14:paraId="11F1A589" w14:textId="77777777" w:rsidR="006A74FA" w:rsidRPr="0085217B" w:rsidRDefault="006A74FA" w:rsidP="006A74FA">
      <w:pPr>
        <w:spacing w:after="200" w:line="276" w:lineRule="auto"/>
        <w:jc w:val="both"/>
        <w:rPr>
          <w:rFonts w:ascii="Century Gothic" w:eastAsia="Calibri" w:hAnsi="Century Gothic" w:cs="Calibri"/>
          <w:iCs/>
          <w:color w:val="6E6E7C"/>
          <w:sz w:val="2"/>
          <w:szCs w:val="21"/>
        </w:rPr>
      </w:pPr>
    </w:p>
    <w:p w14:paraId="7E683F93"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La supervisión nacional consiste en el monitoreo y seguimiento oportuno de la encuesta, la actividad está a cargo del equipo técnico Nacional de la ENESEM (Administración Central), y se la ejecuta en territorio. Así también se realizaron controles exhaustivos de la calidad de la información, incrementando las validaciones parciales de la información recolectada a fin de asegurar la calidad y veracidad de </w:t>
      </w:r>
      <w:r w:rsidR="006E10E6" w:rsidRPr="00582936">
        <w:rPr>
          <w:rFonts w:ascii="Century Gothic" w:eastAsia="Calibri" w:hAnsi="Century Gothic" w:cs="Calibri"/>
          <w:iCs/>
          <w:color w:val="6E6E7C"/>
          <w:sz w:val="21"/>
          <w:szCs w:val="21"/>
        </w:rPr>
        <w:t>esta</w:t>
      </w:r>
      <w:r w:rsidRPr="00582936">
        <w:rPr>
          <w:rFonts w:ascii="Century Gothic" w:eastAsia="Calibri" w:hAnsi="Century Gothic" w:cs="Calibri"/>
          <w:iCs/>
          <w:color w:val="6E6E7C"/>
          <w:sz w:val="21"/>
          <w:szCs w:val="21"/>
        </w:rPr>
        <w:t>. Adicional, se intensificó el uso de medios tecnológicos y reportes de control que verifiquen la correcta realización de las tareas planificadas, cumplimiento de cargas de trabajo, ejecución de cronogramas, alcance de objetivos y apego a la metodología de la encuesta, entre otros aspectos.</w:t>
      </w:r>
    </w:p>
    <w:p w14:paraId="6F9D2525" w14:textId="77777777" w:rsidR="006A74FA" w:rsidRPr="00582936" w:rsidRDefault="006A74FA" w:rsidP="006A74FA">
      <w:pPr>
        <w:spacing w:after="200" w:line="276" w:lineRule="auto"/>
        <w:jc w:val="both"/>
        <w:rPr>
          <w:rFonts w:ascii="Century Gothic" w:eastAsia="Dotum" w:hAnsi="Century Gothic" w:cs="Times New Roman"/>
          <w:b/>
          <w:bCs/>
          <w:iCs/>
          <w:color w:val="6E6E7C"/>
          <w:szCs w:val="21"/>
        </w:rPr>
      </w:pPr>
      <w:r w:rsidRPr="00582936">
        <w:rPr>
          <w:rFonts w:ascii="Century Gothic" w:eastAsia="Dotum" w:hAnsi="Century Gothic" w:cs="Times New Roman"/>
          <w:b/>
          <w:bCs/>
          <w:iCs/>
          <w:color w:val="6E6E7C"/>
          <w:szCs w:val="21"/>
        </w:rPr>
        <w:t>Control de cobertura de levantamiento en campo de la información</w:t>
      </w:r>
    </w:p>
    <w:p w14:paraId="7AA6E2B7" w14:textId="77777777" w:rsidR="006A74FA" w:rsidRPr="00582936" w:rsidRDefault="006A74FA" w:rsidP="006A74FA">
      <w:pPr>
        <w:spacing w:after="24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Las Coordinaciones Zonales ejecutan el proceso de seguimiento y control de cobertura durante el levantamiento en campo, generando el documento ‘Reporte </w:t>
      </w:r>
      <w:r w:rsidRPr="00582936">
        <w:rPr>
          <w:rFonts w:ascii="Century Gothic" w:eastAsia="Calibri" w:hAnsi="Century Gothic" w:cs="Calibri"/>
          <w:iCs/>
          <w:color w:val="6E6E7C"/>
          <w:sz w:val="21"/>
          <w:szCs w:val="21"/>
        </w:rPr>
        <w:lastRenderedPageBreak/>
        <w:t>de Cobertura’ cuyo objetivo es controlar el avance de recolección de información y dar seguimiento a las novedades presentadas en el transcurso del operativo. El reporte de cobertura es actualizado de manera semanal por el equipo ENESEM (Administración Central), mediante el cual se da seguimiento al proceso de levantamiento y se brinda directrices para casos especiales.</w:t>
      </w:r>
    </w:p>
    <w:p w14:paraId="6F54846F" w14:textId="77777777" w:rsidR="006A74FA" w:rsidRPr="00582936" w:rsidRDefault="006A74FA" w:rsidP="006A74FA">
      <w:pPr>
        <w:spacing w:after="24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Durante la recolección de campo se generan dos tipos de encuesta ‘efectiva’ y ‘no efectiva’.</w:t>
      </w:r>
    </w:p>
    <w:p w14:paraId="18697D34"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Encuesta ‘Efectiva’</w:t>
      </w:r>
    </w:p>
    <w:p w14:paraId="21F4F681"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Las encuestas efectivas pueden tener dos particularidades:</w:t>
      </w:r>
    </w:p>
    <w:p w14:paraId="4DA178B2" w14:textId="77777777" w:rsidR="006A74FA" w:rsidRPr="00582936" w:rsidRDefault="006A74FA" w:rsidP="00E5524A">
      <w:pPr>
        <w:numPr>
          <w:ilvl w:val="0"/>
          <w:numId w:val="18"/>
        </w:numPr>
        <w:spacing w:before="240" w:after="200" w:line="276" w:lineRule="auto"/>
        <w:ind w:left="851"/>
        <w:contextualSpacing/>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Sin Novedad:</w:t>
      </w:r>
      <w:r w:rsidRPr="00582936">
        <w:rPr>
          <w:rFonts w:ascii="Century Gothic" w:eastAsia="Calibri" w:hAnsi="Century Gothic" w:cs="Calibri"/>
          <w:iCs/>
          <w:color w:val="6E6E7C"/>
          <w:sz w:val="21"/>
          <w:szCs w:val="21"/>
        </w:rPr>
        <w:t xml:space="preserve"> Es aquella que se encuentra en actividad normal y ha proporcionado información financiera y ambiental sin tener cambios económicos, jurídicos o administrativos; por tanto, el resultado de la encuesta será efectiva y se registrará en el sistema.</w:t>
      </w:r>
    </w:p>
    <w:p w14:paraId="46A02998" w14:textId="77777777" w:rsidR="006A74FA" w:rsidRPr="00582936" w:rsidRDefault="006A74FA" w:rsidP="00E5524A">
      <w:pPr>
        <w:numPr>
          <w:ilvl w:val="0"/>
          <w:numId w:val="18"/>
        </w:numPr>
        <w:spacing w:after="200" w:line="276" w:lineRule="auto"/>
        <w:ind w:left="851"/>
        <w:contextualSpacing/>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Con Novedad:</w:t>
      </w:r>
      <w:r w:rsidRPr="00582936">
        <w:rPr>
          <w:rFonts w:ascii="Century Gothic" w:eastAsia="Calibri" w:hAnsi="Century Gothic" w:cs="Calibri"/>
          <w:iCs/>
          <w:color w:val="6E6E7C"/>
          <w:sz w:val="21"/>
          <w:szCs w:val="21"/>
        </w:rPr>
        <w:t xml:space="preserve"> Implica que el registro ha sido levantado, pero presenta cambios económicos, jurídicos o administrativos que pueden afectar el marco de muestra como:</w:t>
      </w:r>
    </w:p>
    <w:p w14:paraId="09687966"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Cambio de rama de actividad. </w:t>
      </w:r>
    </w:p>
    <w:p w14:paraId="0805F4FB"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Cambio de sector económico.</w:t>
      </w:r>
    </w:p>
    <w:p w14:paraId="6793FA21"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Cambio de razón social.</w:t>
      </w:r>
    </w:p>
    <w:p w14:paraId="32EF9FA0"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Cambio de RUC.</w:t>
      </w:r>
    </w:p>
    <w:p w14:paraId="2DCB9C96"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Cambio o actualización de ubicación geográfica.</w:t>
      </w:r>
    </w:p>
    <w:p w14:paraId="7742E9B3"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Empresas que producen para terceros.</w:t>
      </w:r>
    </w:p>
    <w:p w14:paraId="5D0C759B"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Fusionadas.</w:t>
      </w:r>
      <w:r w:rsidRPr="00582936">
        <w:rPr>
          <w:rFonts w:ascii="Century Gothic" w:eastAsia="Calibri" w:hAnsi="Century Gothic" w:cs="Calibri"/>
          <w:iCs/>
          <w:color w:val="6E6E7C"/>
          <w:sz w:val="21"/>
          <w:szCs w:val="21"/>
          <w:vertAlign w:val="superscript"/>
        </w:rPr>
        <w:t xml:space="preserve"> </w:t>
      </w:r>
      <w:r w:rsidRPr="00582936">
        <w:rPr>
          <w:rFonts w:ascii="Century Gothic" w:eastAsia="Calibri" w:hAnsi="Century Gothic" w:cs="Calibri"/>
          <w:iCs/>
          <w:color w:val="6E6E7C"/>
          <w:sz w:val="21"/>
          <w:szCs w:val="21"/>
          <w:vertAlign w:val="superscript"/>
        </w:rPr>
        <w:footnoteReference w:id="12"/>
      </w:r>
    </w:p>
    <w:p w14:paraId="4208A5A2"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Absorbida.</w:t>
      </w:r>
    </w:p>
    <w:p w14:paraId="60C70806"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Desintegración.</w:t>
      </w:r>
    </w:p>
    <w:p w14:paraId="4E8BB5A8" w14:textId="77777777" w:rsidR="006A74FA" w:rsidRPr="00582936" w:rsidRDefault="006A74FA" w:rsidP="00E5524A">
      <w:pPr>
        <w:numPr>
          <w:ilvl w:val="0"/>
          <w:numId w:val="18"/>
        </w:num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Escisión.</w:t>
      </w:r>
    </w:p>
    <w:p w14:paraId="60C4C1F3" w14:textId="77777777" w:rsidR="006A74FA" w:rsidRPr="0032644F" w:rsidRDefault="006A74FA" w:rsidP="006A74FA">
      <w:pPr>
        <w:spacing w:line="276" w:lineRule="auto"/>
        <w:jc w:val="both"/>
        <w:rPr>
          <w:rFonts w:ascii="Century Gothic" w:eastAsia="Calibri" w:hAnsi="Century Gothic" w:cs="Calibri"/>
          <w:iCs/>
          <w:color w:val="6E6E7C"/>
          <w:sz w:val="12"/>
          <w:szCs w:val="21"/>
        </w:rPr>
      </w:pPr>
    </w:p>
    <w:p w14:paraId="775171E6" w14:textId="77777777" w:rsidR="006A74FA" w:rsidRPr="00582936" w:rsidRDefault="006A74FA" w:rsidP="006A74FA">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Encuesta ‘No efectiva’</w:t>
      </w:r>
    </w:p>
    <w:p w14:paraId="0A8B709B" w14:textId="77777777" w:rsidR="006A74FA" w:rsidRPr="00582936" w:rsidRDefault="006A74FA" w:rsidP="006A74FA">
      <w:pPr>
        <w:spacing w:before="240"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Una encuesta se denomina ‘no efectiva’ cuando cumple alguna de las siguientes condiciones:</w:t>
      </w:r>
    </w:p>
    <w:p w14:paraId="226B9B17" w14:textId="77777777" w:rsidR="006A74FA" w:rsidRPr="00582936" w:rsidRDefault="006A74FA" w:rsidP="00E5524A">
      <w:pPr>
        <w:numPr>
          <w:ilvl w:val="1"/>
          <w:numId w:val="19"/>
        </w:numPr>
        <w:spacing w:after="200" w:line="276" w:lineRule="auto"/>
        <w:ind w:left="1560"/>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No ubicadas.</w:t>
      </w:r>
    </w:p>
    <w:p w14:paraId="15297E5A" w14:textId="77777777" w:rsidR="006A74FA" w:rsidRPr="00582936" w:rsidRDefault="006A74FA" w:rsidP="00E5524A">
      <w:pPr>
        <w:numPr>
          <w:ilvl w:val="1"/>
          <w:numId w:val="19"/>
        </w:numPr>
        <w:spacing w:after="200" w:line="276" w:lineRule="auto"/>
        <w:ind w:left="1560"/>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Rechazos.</w:t>
      </w:r>
    </w:p>
    <w:p w14:paraId="73E0F0A0" w14:textId="77777777" w:rsidR="006A74FA" w:rsidRPr="00582936" w:rsidRDefault="006A74FA" w:rsidP="00E5524A">
      <w:pPr>
        <w:numPr>
          <w:ilvl w:val="1"/>
          <w:numId w:val="19"/>
        </w:numPr>
        <w:spacing w:after="200" w:line="276" w:lineRule="auto"/>
        <w:ind w:left="1560"/>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Liquidadas.</w:t>
      </w:r>
    </w:p>
    <w:p w14:paraId="177C113B" w14:textId="77777777" w:rsidR="006A74FA" w:rsidRPr="00582936" w:rsidRDefault="006A74FA" w:rsidP="00E5524A">
      <w:pPr>
        <w:numPr>
          <w:ilvl w:val="1"/>
          <w:numId w:val="19"/>
        </w:numPr>
        <w:spacing w:after="200" w:line="276" w:lineRule="auto"/>
        <w:ind w:left="1560"/>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Sin características.</w:t>
      </w:r>
    </w:p>
    <w:p w14:paraId="0DADB584" w14:textId="77777777" w:rsidR="006A74FA" w:rsidRDefault="006A74FA" w:rsidP="00E5524A">
      <w:pPr>
        <w:numPr>
          <w:ilvl w:val="1"/>
          <w:numId w:val="19"/>
        </w:numPr>
        <w:spacing w:before="240" w:after="200" w:line="276" w:lineRule="auto"/>
        <w:ind w:left="1560"/>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Inactivas.</w:t>
      </w:r>
    </w:p>
    <w:p w14:paraId="32174B26" w14:textId="77777777" w:rsidR="00661BE1" w:rsidRDefault="00661BE1" w:rsidP="006E10E6">
      <w:pPr>
        <w:spacing w:before="240" w:after="200" w:line="276" w:lineRule="auto"/>
        <w:contextualSpacing/>
        <w:jc w:val="both"/>
        <w:rPr>
          <w:rFonts w:ascii="Century Gothic" w:eastAsia="Dotum" w:hAnsi="Century Gothic" w:cs="Times New Roman"/>
          <w:b/>
          <w:bCs/>
          <w:iCs/>
          <w:color w:val="6E6E7C"/>
          <w:szCs w:val="21"/>
        </w:rPr>
      </w:pPr>
    </w:p>
    <w:p w14:paraId="4EF2D3F8" w14:textId="77777777" w:rsidR="00BA7D1F" w:rsidRDefault="00BA7D1F" w:rsidP="006E10E6">
      <w:pPr>
        <w:spacing w:before="240" w:after="200" w:line="276" w:lineRule="auto"/>
        <w:contextualSpacing/>
        <w:jc w:val="both"/>
        <w:rPr>
          <w:rFonts w:ascii="Century Gothic" w:eastAsia="Dotum" w:hAnsi="Century Gothic" w:cs="Times New Roman"/>
          <w:b/>
          <w:bCs/>
          <w:iCs/>
          <w:color w:val="6E6E7C"/>
          <w:szCs w:val="21"/>
        </w:rPr>
      </w:pPr>
    </w:p>
    <w:p w14:paraId="54BAB1FA" w14:textId="77777777" w:rsidR="00BA7D1F" w:rsidRDefault="00BA7D1F" w:rsidP="006E10E6">
      <w:pPr>
        <w:spacing w:before="240" w:after="200" w:line="276" w:lineRule="auto"/>
        <w:contextualSpacing/>
        <w:jc w:val="both"/>
        <w:rPr>
          <w:rFonts w:ascii="Century Gothic" w:eastAsia="Dotum" w:hAnsi="Century Gothic" w:cs="Times New Roman"/>
          <w:b/>
          <w:bCs/>
          <w:iCs/>
          <w:color w:val="6E6E7C"/>
          <w:szCs w:val="21"/>
        </w:rPr>
      </w:pPr>
    </w:p>
    <w:p w14:paraId="4F0ABB50" w14:textId="77777777" w:rsidR="006E10E6" w:rsidRPr="00B96AC8" w:rsidRDefault="00B96AC8" w:rsidP="006E10E6">
      <w:pPr>
        <w:spacing w:before="240" w:after="200" w:line="276" w:lineRule="auto"/>
        <w:contextualSpacing/>
        <w:jc w:val="both"/>
        <w:rPr>
          <w:rFonts w:ascii="Century Gothic" w:eastAsia="Dotum" w:hAnsi="Century Gothic" w:cs="Times New Roman"/>
          <w:b/>
          <w:bCs/>
          <w:iCs/>
          <w:color w:val="6E6E7C"/>
          <w:szCs w:val="21"/>
        </w:rPr>
      </w:pPr>
      <w:r>
        <w:rPr>
          <w:rFonts w:ascii="Century Gothic" w:eastAsia="Dotum" w:hAnsi="Century Gothic" w:cs="Times New Roman"/>
          <w:b/>
          <w:bCs/>
          <w:iCs/>
          <w:color w:val="6E6E7C"/>
          <w:szCs w:val="21"/>
        </w:rPr>
        <w:lastRenderedPageBreak/>
        <w:t>Indicadores de Calidad</w:t>
      </w:r>
    </w:p>
    <w:p w14:paraId="69C0D4A9" w14:textId="77777777" w:rsidR="00B96AC8" w:rsidRPr="00661BE1" w:rsidRDefault="00B96AC8" w:rsidP="00B96AC8">
      <w:pPr>
        <w:spacing w:before="240" w:after="240" w:line="276" w:lineRule="auto"/>
        <w:jc w:val="both"/>
        <w:rPr>
          <w:rFonts w:ascii="Century Gothic" w:eastAsia="Times New Roman" w:hAnsi="Century Gothic" w:cs="Arial"/>
          <w:iCs/>
          <w:color w:val="6E6E7C"/>
          <w:sz w:val="21"/>
          <w:szCs w:val="21"/>
          <w:lang w:eastAsia="es-EC"/>
        </w:rPr>
      </w:pPr>
      <w:r w:rsidRPr="00661BE1">
        <w:rPr>
          <w:rFonts w:ascii="Century Gothic" w:eastAsia="Calibri" w:hAnsi="Century Gothic" w:cs="Calibri"/>
          <w:iCs/>
          <w:color w:val="6E6E7C"/>
          <w:sz w:val="21"/>
          <w:szCs w:val="21"/>
        </w:rPr>
        <w:t xml:space="preserve">La generación de indicadores de calidad permite la ejecución de </w:t>
      </w:r>
      <w:r w:rsidRPr="00661BE1">
        <w:rPr>
          <w:rFonts w:ascii="Century Gothic" w:eastAsia="Times New Roman" w:hAnsi="Century Gothic" w:cs="Arial"/>
          <w:iCs/>
          <w:color w:val="6E6E7C"/>
          <w:sz w:val="21"/>
          <w:szCs w:val="21"/>
          <w:lang w:eastAsia="es-EC"/>
        </w:rPr>
        <w:t>controles más representativos que se toman en cuenta para garantizar la calidad de la operación estadística ejecutada:</w:t>
      </w:r>
    </w:p>
    <w:p w14:paraId="25AB471D" w14:textId="77777777" w:rsidR="00B96AC8" w:rsidRPr="00661BE1" w:rsidRDefault="00B96AC8" w:rsidP="00CF3585">
      <w:pPr>
        <w:spacing w:after="200"/>
        <w:jc w:val="center"/>
        <w:rPr>
          <w:rFonts w:ascii="Century Gothic" w:eastAsia="Calibri" w:hAnsi="Century Gothic" w:cs="Times New Roman"/>
          <w:iCs/>
          <w:color w:val="6E6E7C"/>
          <w:sz w:val="18"/>
          <w:szCs w:val="18"/>
        </w:rPr>
      </w:pPr>
      <w:bookmarkStart w:id="233" w:name="_Toc128467624"/>
      <w:bookmarkStart w:id="234" w:name="_Toc130899622"/>
      <w:bookmarkStart w:id="235" w:name="_Toc161322601"/>
      <w:r w:rsidRPr="00661BE1">
        <w:rPr>
          <w:rFonts w:ascii="Century Gothic" w:eastAsia="Calibri" w:hAnsi="Century Gothic" w:cs="Times New Roman"/>
          <w:b/>
          <w:iCs/>
          <w:color w:val="6E6E7C"/>
          <w:sz w:val="18"/>
          <w:szCs w:val="18"/>
        </w:rPr>
        <w:t xml:space="preserve">Tabla </w:t>
      </w:r>
      <w:r w:rsidRPr="00661BE1">
        <w:rPr>
          <w:rFonts w:ascii="Century Gothic" w:eastAsia="Calibri" w:hAnsi="Century Gothic" w:cs="Times New Roman"/>
          <w:b/>
          <w:iCs/>
          <w:color w:val="6E6E7C"/>
          <w:sz w:val="18"/>
          <w:szCs w:val="18"/>
        </w:rPr>
        <w:fldChar w:fldCharType="begin"/>
      </w:r>
      <w:r w:rsidRPr="00661BE1">
        <w:rPr>
          <w:rFonts w:ascii="Century Gothic" w:eastAsia="Calibri" w:hAnsi="Century Gothic" w:cs="Times New Roman"/>
          <w:b/>
          <w:iCs/>
          <w:color w:val="6E6E7C"/>
          <w:sz w:val="18"/>
          <w:szCs w:val="18"/>
        </w:rPr>
        <w:instrText xml:space="preserve"> SEQ Tabla \* ARABIC </w:instrText>
      </w:r>
      <w:r w:rsidRPr="00661BE1">
        <w:rPr>
          <w:rFonts w:ascii="Century Gothic" w:eastAsia="Calibri" w:hAnsi="Century Gothic" w:cs="Times New Roman"/>
          <w:b/>
          <w:iCs/>
          <w:color w:val="6E6E7C"/>
          <w:sz w:val="18"/>
          <w:szCs w:val="18"/>
        </w:rPr>
        <w:fldChar w:fldCharType="separate"/>
      </w:r>
      <w:r w:rsidR="00CF3585" w:rsidRPr="00661BE1">
        <w:rPr>
          <w:rFonts w:ascii="Century Gothic" w:eastAsia="Calibri" w:hAnsi="Century Gothic" w:cs="Times New Roman"/>
          <w:b/>
          <w:iCs/>
          <w:noProof/>
          <w:color w:val="6E6E7C"/>
          <w:sz w:val="18"/>
          <w:szCs w:val="18"/>
        </w:rPr>
        <w:t>7</w:t>
      </w:r>
      <w:r w:rsidRPr="00661BE1">
        <w:rPr>
          <w:rFonts w:ascii="Century Gothic" w:eastAsia="Calibri" w:hAnsi="Century Gothic" w:cs="Times New Roman"/>
          <w:b/>
          <w:iCs/>
          <w:color w:val="6E6E7C"/>
          <w:sz w:val="18"/>
          <w:szCs w:val="18"/>
        </w:rPr>
        <w:fldChar w:fldCharType="end"/>
      </w:r>
      <w:r w:rsidRPr="00661BE1">
        <w:rPr>
          <w:rFonts w:ascii="Century Gothic" w:eastAsia="Calibri" w:hAnsi="Century Gothic" w:cs="Times New Roman"/>
          <w:b/>
          <w:iCs/>
          <w:color w:val="6E6E7C"/>
          <w:sz w:val="18"/>
          <w:szCs w:val="18"/>
        </w:rPr>
        <w:t>.</w:t>
      </w:r>
      <w:r w:rsidRPr="00661BE1">
        <w:rPr>
          <w:rFonts w:ascii="Century Gothic" w:eastAsia="Calibri" w:hAnsi="Century Gothic" w:cs="Times New Roman"/>
          <w:iCs/>
          <w:color w:val="6E6E7C"/>
          <w:sz w:val="18"/>
          <w:szCs w:val="18"/>
        </w:rPr>
        <w:t xml:space="preserve"> Matriz de indicadores de calidad de la ENESEM 2022:</w:t>
      </w:r>
      <w:bookmarkEnd w:id="233"/>
      <w:bookmarkEnd w:id="234"/>
      <w:bookmarkEnd w:id="235"/>
    </w:p>
    <w:tbl>
      <w:tblPr>
        <w:tblW w:w="9126" w:type="dxa"/>
        <w:tblInd w:w="-10" w:type="dxa"/>
        <w:tblBorders>
          <w:top w:val="single" w:sz="8" w:space="0" w:color="AEAAAA"/>
          <w:left w:val="single" w:sz="8" w:space="0" w:color="AEAAAA"/>
          <w:bottom w:val="single" w:sz="8" w:space="0" w:color="AEAAAA"/>
          <w:right w:val="single" w:sz="8" w:space="0" w:color="AEAAAA"/>
          <w:insideH w:val="single" w:sz="8" w:space="0" w:color="AEAAAA"/>
          <w:insideV w:val="single" w:sz="8" w:space="0" w:color="AEAAAA"/>
        </w:tblBorders>
        <w:tblCellMar>
          <w:left w:w="70" w:type="dxa"/>
          <w:right w:w="70" w:type="dxa"/>
        </w:tblCellMar>
        <w:tblLook w:val="04A0" w:firstRow="1" w:lastRow="0" w:firstColumn="1" w:lastColumn="0" w:noHBand="0" w:noVBand="1"/>
      </w:tblPr>
      <w:tblGrid>
        <w:gridCol w:w="1921"/>
        <w:gridCol w:w="7205"/>
      </w:tblGrid>
      <w:tr w:rsidR="00B96AC8" w:rsidRPr="00B96AC8" w14:paraId="787B8CFA" w14:textId="77777777" w:rsidTr="00460317">
        <w:trPr>
          <w:trHeight w:val="283"/>
        </w:trPr>
        <w:tc>
          <w:tcPr>
            <w:tcW w:w="1921" w:type="dxa"/>
            <w:vMerge w:val="restart"/>
            <w:shd w:val="clear" w:color="auto" w:fill="4266CE"/>
            <w:vAlign w:val="center"/>
            <w:hideMark/>
          </w:tcPr>
          <w:p w14:paraId="36D3F6B5" w14:textId="77777777" w:rsidR="00B96AC8" w:rsidRPr="00460317" w:rsidRDefault="00B96AC8" w:rsidP="00460317">
            <w:pPr>
              <w:jc w:val="center"/>
              <w:rPr>
                <w:rFonts w:ascii="Century Gothic" w:eastAsia="Times New Roman" w:hAnsi="Century Gothic" w:cs="Calibri"/>
                <w:b/>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Oportunidad y Puntualidad</w:t>
            </w:r>
          </w:p>
        </w:tc>
        <w:tc>
          <w:tcPr>
            <w:tcW w:w="7205" w:type="dxa"/>
            <w:shd w:val="clear" w:color="auto" w:fill="4266CE"/>
            <w:noWrap/>
            <w:vAlign w:val="center"/>
            <w:hideMark/>
          </w:tcPr>
          <w:p w14:paraId="7CAC490E"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Planificación</w:t>
            </w:r>
          </w:p>
        </w:tc>
      </w:tr>
      <w:tr w:rsidR="00B96AC8" w:rsidRPr="00B96AC8" w14:paraId="3965A414" w14:textId="77777777" w:rsidTr="00460317">
        <w:trPr>
          <w:trHeight w:val="283"/>
        </w:trPr>
        <w:tc>
          <w:tcPr>
            <w:tcW w:w="1921" w:type="dxa"/>
            <w:vMerge/>
            <w:shd w:val="clear" w:color="auto" w:fill="4266CE"/>
            <w:vAlign w:val="center"/>
            <w:hideMark/>
          </w:tcPr>
          <w:p w14:paraId="36DC4C6E"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C6CEA4F"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asignación de recursos.</w:t>
            </w:r>
          </w:p>
        </w:tc>
      </w:tr>
      <w:tr w:rsidR="00B96AC8" w:rsidRPr="00B96AC8" w14:paraId="0BDB112A" w14:textId="77777777" w:rsidTr="00460317">
        <w:trPr>
          <w:trHeight w:val="283"/>
        </w:trPr>
        <w:tc>
          <w:tcPr>
            <w:tcW w:w="1921" w:type="dxa"/>
            <w:vMerge/>
            <w:shd w:val="clear" w:color="auto" w:fill="4266CE"/>
            <w:vAlign w:val="center"/>
            <w:hideMark/>
          </w:tcPr>
          <w:p w14:paraId="0B5462C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F5DC854"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aprobación del plan de dirección de proyecto.</w:t>
            </w:r>
          </w:p>
        </w:tc>
      </w:tr>
      <w:tr w:rsidR="00B96AC8" w:rsidRPr="00B96AC8" w14:paraId="56DEB9FC" w14:textId="77777777" w:rsidTr="00460317">
        <w:trPr>
          <w:trHeight w:val="283"/>
        </w:trPr>
        <w:tc>
          <w:tcPr>
            <w:tcW w:w="1921" w:type="dxa"/>
            <w:vMerge/>
            <w:shd w:val="clear" w:color="auto" w:fill="4266CE"/>
            <w:vAlign w:val="center"/>
            <w:hideMark/>
          </w:tcPr>
          <w:p w14:paraId="6E2E392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7E5325D1"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Diseño</w:t>
            </w:r>
          </w:p>
        </w:tc>
      </w:tr>
      <w:tr w:rsidR="00B96AC8" w:rsidRPr="00B96AC8" w14:paraId="4D140466" w14:textId="77777777" w:rsidTr="00460317">
        <w:trPr>
          <w:trHeight w:val="283"/>
        </w:trPr>
        <w:tc>
          <w:tcPr>
            <w:tcW w:w="1921" w:type="dxa"/>
            <w:vMerge/>
            <w:shd w:val="clear" w:color="auto" w:fill="4266CE"/>
            <w:vAlign w:val="center"/>
            <w:hideMark/>
          </w:tcPr>
          <w:p w14:paraId="3991EA83"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2DDE87FF"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el envío de insumos para la generación de la muestra a DINEM (</w:t>
            </w:r>
            <w:proofErr w:type="spellStart"/>
            <w:r w:rsidRPr="00B96AC8">
              <w:rPr>
                <w:rFonts w:ascii="Century Gothic" w:eastAsia="Times New Roman" w:hAnsi="Century Gothic" w:cs="Calibri"/>
                <w:color w:val="6E6E7C"/>
                <w:sz w:val="18"/>
                <w:szCs w:val="18"/>
                <w:lang w:eastAsia="es-EC"/>
              </w:rPr>
              <w:t>shapes</w:t>
            </w:r>
            <w:proofErr w:type="spellEnd"/>
            <w:r w:rsidRPr="00B96AC8">
              <w:rPr>
                <w:rFonts w:ascii="Century Gothic" w:eastAsia="Times New Roman" w:hAnsi="Century Gothic" w:cs="Calibri"/>
                <w:color w:val="6E6E7C"/>
                <w:sz w:val="18"/>
                <w:szCs w:val="18"/>
                <w:lang w:eastAsia="es-EC"/>
              </w:rPr>
              <w:t xml:space="preserve">, base </w:t>
            </w:r>
            <w:proofErr w:type="spellStart"/>
            <w:r w:rsidRPr="00B96AC8">
              <w:rPr>
                <w:rFonts w:ascii="Century Gothic" w:eastAsia="Times New Roman" w:hAnsi="Century Gothic" w:cs="Calibri"/>
                <w:color w:val="6E6E7C"/>
                <w:sz w:val="18"/>
                <w:szCs w:val="18"/>
                <w:lang w:eastAsia="es-EC"/>
              </w:rPr>
              <w:t>enlistamiento</w:t>
            </w:r>
            <w:proofErr w:type="spellEnd"/>
            <w:r w:rsidRPr="00B96AC8">
              <w:rPr>
                <w:rFonts w:ascii="Century Gothic" w:eastAsia="Times New Roman" w:hAnsi="Century Gothic" w:cs="Calibri"/>
                <w:color w:val="6E6E7C"/>
                <w:sz w:val="18"/>
                <w:szCs w:val="18"/>
                <w:lang w:eastAsia="es-EC"/>
              </w:rPr>
              <w:t>, metodología, marco muestral actualizado, etc.).</w:t>
            </w:r>
          </w:p>
        </w:tc>
      </w:tr>
      <w:tr w:rsidR="00B96AC8" w:rsidRPr="00B96AC8" w14:paraId="72C69687" w14:textId="77777777" w:rsidTr="00460317">
        <w:trPr>
          <w:trHeight w:val="283"/>
        </w:trPr>
        <w:tc>
          <w:tcPr>
            <w:tcW w:w="1921" w:type="dxa"/>
            <w:vMerge/>
            <w:shd w:val="clear" w:color="auto" w:fill="4266CE"/>
            <w:vAlign w:val="center"/>
            <w:hideMark/>
          </w:tcPr>
          <w:p w14:paraId="13F990D4"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6835CB56"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Construcción</w:t>
            </w:r>
          </w:p>
        </w:tc>
      </w:tr>
      <w:tr w:rsidR="00B96AC8" w:rsidRPr="00B96AC8" w14:paraId="728A8774" w14:textId="77777777" w:rsidTr="00460317">
        <w:trPr>
          <w:trHeight w:val="283"/>
        </w:trPr>
        <w:tc>
          <w:tcPr>
            <w:tcW w:w="1921" w:type="dxa"/>
            <w:vMerge/>
            <w:shd w:val="clear" w:color="auto" w:fill="4266CE"/>
            <w:vAlign w:val="center"/>
            <w:hideMark/>
          </w:tcPr>
          <w:p w14:paraId="4789B5A6"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90A7DD8"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aprobación del formulario desde DIREJ.</w:t>
            </w:r>
          </w:p>
        </w:tc>
      </w:tr>
      <w:tr w:rsidR="00B96AC8" w:rsidRPr="00B96AC8" w14:paraId="172FE410" w14:textId="77777777" w:rsidTr="00460317">
        <w:trPr>
          <w:trHeight w:val="283"/>
        </w:trPr>
        <w:tc>
          <w:tcPr>
            <w:tcW w:w="1921" w:type="dxa"/>
            <w:vMerge/>
            <w:shd w:val="clear" w:color="auto" w:fill="4266CE"/>
            <w:vAlign w:val="center"/>
            <w:hideMark/>
          </w:tcPr>
          <w:p w14:paraId="477B71FD"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65D0D2B2"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aprobación de la malla de validación final.</w:t>
            </w:r>
          </w:p>
        </w:tc>
      </w:tr>
      <w:tr w:rsidR="00B96AC8" w:rsidRPr="00B96AC8" w14:paraId="6821DB0A" w14:textId="77777777" w:rsidTr="00460317">
        <w:trPr>
          <w:trHeight w:val="283"/>
        </w:trPr>
        <w:tc>
          <w:tcPr>
            <w:tcW w:w="1921" w:type="dxa"/>
            <w:vMerge/>
            <w:shd w:val="clear" w:color="auto" w:fill="4266CE"/>
            <w:vAlign w:val="center"/>
            <w:hideMark/>
          </w:tcPr>
          <w:p w14:paraId="234CF4C8"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A57749F"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aprobación del plan de tabulados.</w:t>
            </w:r>
          </w:p>
        </w:tc>
      </w:tr>
      <w:tr w:rsidR="00B96AC8" w:rsidRPr="00B96AC8" w14:paraId="64141D3B" w14:textId="77777777" w:rsidTr="00460317">
        <w:trPr>
          <w:trHeight w:val="283"/>
        </w:trPr>
        <w:tc>
          <w:tcPr>
            <w:tcW w:w="1921" w:type="dxa"/>
            <w:vMerge/>
            <w:shd w:val="clear" w:color="auto" w:fill="4266CE"/>
            <w:vAlign w:val="center"/>
            <w:hideMark/>
          </w:tcPr>
          <w:p w14:paraId="75DD0252"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AAEEF03"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aprobación de manuales (encuestador, supervisor, critico/codificador, preparación de material, levantamiento en campo, digitalización cartográfica, etc.).</w:t>
            </w:r>
          </w:p>
        </w:tc>
      </w:tr>
      <w:tr w:rsidR="00B96AC8" w:rsidRPr="00B96AC8" w14:paraId="05F28407" w14:textId="77777777" w:rsidTr="00460317">
        <w:trPr>
          <w:trHeight w:val="283"/>
        </w:trPr>
        <w:tc>
          <w:tcPr>
            <w:tcW w:w="1921" w:type="dxa"/>
            <w:vMerge/>
            <w:shd w:val="clear" w:color="auto" w:fill="4266CE"/>
            <w:vAlign w:val="center"/>
            <w:hideMark/>
          </w:tcPr>
          <w:p w14:paraId="72B243C9"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BDF70AD"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el envío del requerimiento e insumos para la generación de desarrollos tecnológicos (formulario y mallas de validación).</w:t>
            </w:r>
          </w:p>
        </w:tc>
      </w:tr>
      <w:tr w:rsidR="00B96AC8" w:rsidRPr="00B96AC8" w14:paraId="3EC2D121" w14:textId="77777777" w:rsidTr="00460317">
        <w:trPr>
          <w:trHeight w:val="283"/>
        </w:trPr>
        <w:tc>
          <w:tcPr>
            <w:tcW w:w="1921" w:type="dxa"/>
            <w:vMerge/>
            <w:shd w:val="clear" w:color="auto" w:fill="4266CE"/>
            <w:vAlign w:val="center"/>
            <w:hideMark/>
          </w:tcPr>
          <w:p w14:paraId="43BFB897"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2D194D9A"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entrega de los desarrollos tecnológicos</w:t>
            </w:r>
            <w:r w:rsidRPr="00B96AC8">
              <w:rPr>
                <w:rFonts w:ascii="Century Gothic" w:eastAsia="Times New Roman" w:hAnsi="Century Gothic" w:cs="Calibri"/>
                <w:color w:val="6E6E6E"/>
                <w:sz w:val="18"/>
                <w:szCs w:val="18"/>
                <w:lang w:eastAsia="es-EC"/>
              </w:rPr>
              <w:br/>
              <w:t>(Puesta en Producción) Informante.</w:t>
            </w:r>
          </w:p>
        </w:tc>
      </w:tr>
      <w:tr w:rsidR="00B96AC8" w:rsidRPr="00B96AC8" w14:paraId="3ECD3AED" w14:textId="77777777" w:rsidTr="00460317">
        <w:trPr>
          <w:trHeight w:val="283"/>
        </w:trPr>
        <w:tc>
          <w:tcPr>
            <w:tcW w:w="1921" w:type="dxa"/>
            <w:vMerge/>
            <w:shd w:val="clear" w:color="auto" w:fill="4266CE"/>
            <w:vAlign w:val="center"/>
            <w:hideMark/>
          </w:tcPr>
          <w:p w14:paraId="52DDC411"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20B79B4A"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entrega de los desarrollos tecnológicos</w:t>
            </w:r>
            <w:r w:rsidRPr="00B96AC8">
              <w:rPr>
                <w:rFonts w:ascii="Century Gothic" w:eastAsia="Times New Roman" w:hAnsi="Century Gothic" w:cs="Calibri"/>
                <w:color w:val="6E6E6E"/>
                <w:sz w:val="18"/>
                <w:szCs w:val="18"/>
                <w:lang w:eastAsia="es-EC"/>
              </w:rPr>
              <w:br/>
              <w:t>(Puesta en Producción) Crítica.</w:t>
            </w:r>
          </w:p>
        </w:tc>
      </w:tr>
      <w:tr w:rsidR="00B96AC8" w:rsidRPr="00B96AC8" w14:paraId="485EF53C" w14:textId="77777777" w:rsidTr="00460317">
        <w:trPr>
          <w:trHeight w:val="283"/>
        </w:trPr>
        <w:tc>
          <w:tcPr>
            <w:tcW w:w="1921" w:type="dxa"/>
            <w:vMerge/>
            <w:shd w:val="clear" w:color="auto" w:fill="4266CE"/>
            <w:vAlign w:val="center"/>
            <w:hideMark/>
          </w:tcPr>
          <w:p w14:paraId="625A7627"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4373B120"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Recolección</w:t>
            </w:r>
          </w:p>
        </w:tc>
      </w:tr>
      <w:tr w:rsidR="00B96AC8" w:rsidRPr="00B96AC8" w14:paraId="53918793" w14:textId="77777777" w:rsidTr="00460317">
        <w:trPr>
          <w:trHeight w:val="283"/>
        </w:trPr>
        <w:tc>
          <w:tcPr>
            <w:tcW w:w="1921" w:type="dxa"/>
            <w:vMerge/>
            <w:shd w:val="clear" w:color="auto" w:fill="4266CE"/>
            <w:vAlign w:val="center"/>
            <w:hideMark/>
          </w:tcPr>
          <w:p w14:paraId="7DF2EC1D"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6B591542"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el envío de la selección muestra definitiva a la productora.</w:t>
            </w:r>
          </w:p>
        </w:tc>
      </w:tr>
      <w:tr w:rsidR="00B96AC8" w:rsidRPr="00B96AC8" w14:paraId="6CCB35E0" w14:textId="77777777" w:rsidTr="00460317">
        <w:trPr>
          <w:trHeight w:val="283"/>
        </w:trPr>
        <w:tc>
          <w:tcPr>
            <w:tcW w:w="1921" w:type="dxa"/>
            <w:vMerge/>
            <w:shd w:val="clear" w:color="auto" w:fill="4266CE"/>
            <w:vAlign w:val="center"/>
            <w:hideMark/>
          </w:tcPr>
          <w:p w14:paraId="110B0353"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6E8B305C"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 xml:space="preserve">Puntualidad en la carga de la muestra en </w:t>
            </w:r>
            <w:proofErr w:type="spellStart"/>
            <w:r w:rsidRPr="00B96AC8">
              <w:rPr>
                <w:rFonts w:ascii="Century Gothic" w:eastAsia="Times New Roman" w:hAnsi="Century Gothic" w:cs="Calibri"/>
                <w:color w:val="6E6E7C"/>
                <w:sz w:val="18"/>
                <w:szCs w:val="18"/>
                <w:lang w:eastAsia="es-EC"/>
              </w:rPr>
              <w:t>Infocapt</w:t>
            </w:r>
            <w:proofErr w:type="spellEnd"/>
            <w:r w:rsidRPr="00B96AC8">
              <w:rPr>
                <w:rFonts w:ascii="Century Gothic" w:eastAsia="Times New Roman" w:hAnsi="Century Gothic" w:cs="Calibri"/>
                <w:color w:val="6E6E7C"/>
                <w:sz w:val="18"/>
                <w:szCs w:val="18"/>
                <w:lang w:eastAsia="es-EC"/>
              </w:rPr>
              <w:t xml:space="preserve"> /repositorio.</w:t>
            </w:r>
          </w:p>
        </w:tc>
      </w:tr>
      <w:tr w:rsidR="00B96AC8" w:rsidRPr="00B96AC8" w14:paraId="036BFB5A" w14:textId="77777777" w:rsidTr="00460317">
        <w:trPr>
          <w:trHeight w:val="283"/>
        </w:trPr>
        <w:tc>
          <w:tcPr>
            <w:tcW w:w="1921" w:type="dxa"/>
            <w:vMerge/>
            <w:shd w:val="clear" w:color="auto" w:fill="4266CE"/>
            <w:vAlign w:val="center"/>
            <w:hideMark/>
          </w:tcPr>
          <w:p w14:paraId="4ADEC756"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F921CE9"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el inicio de la capacitación.</w:t>
            </w:r>
          </w:p>
        </w:tc>
      </w:tr>
      <w:tr w:rsidR="00B96AC8" w:rsidRPr="00B96AC8" w14:paraId="1F973B6D" w14:textId="77777777" w:rsidTr="00460317">
        <w:trPr>
          <w:trHeight w:val="283"/>
        </w:trPr>
        <w:tc>
          <w:tcPr>
            <w:tcW w:w="1921" w:type="dxa"/>
            <w:vMerge/>
            <w:shd w:val="clear" w:color="auto" w:fill="4266CE"/>
            <w:vAlign w:val="center"/>
            <w:hideMark/>
          </w:tcPr>
          <w:p w14:paraId="609663F7"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485E462"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el registro del personal de campo en la página web.</w:t>
            </w:r>
          </w:p>
        </w:tc>
      </w:tr>
      <w:tr w:rsidR="00B96AC8" w:rsidRPr="00B96AC8" w14:paraId="2BEF1AC1" w14:textId="77777777" w:rsidTr="00460317">
        <w:trPr>
          <w:trHeight w:val="283"/>
        </w:trPr>
        <w:tc>
          <w:tcPr>
            <w:tcW w:w="1921" w:type="dxa"/>
            <w:vMerge/>
            <w:shd w:val="clear" w:color="auto" w:fill="4266CE"/>
            <w:vAlign w:val="center"/>
            <w:hideMark/>
          </w:tcPr>
          <w:p w14:paraId="07CF8471"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F188D3C"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el inicio del levantamiento de la información.</w:t>
            </w:r>
          </w:p>
        </w:tc>
      </w:tr>
      <w:tr w:rsidR="00B96AC8" w:rsidRPr="00B96AC8" w14:paraId="0E6F3229" w14:textId="77777777" w:rsidTr="00460317">
        <w:trPr>
          <w:trHeight w:val="283"/>
        </w:trPr>
        <w:tc>
          <w:tcPr>
            <w:tcW w:w="1921" w:type="dxa"/>
            <w:vMerge/>
            <w:shd w:val="clear" w:color="auto" w:fill="4266CE"/>
            <w:vAlign w:val="center"/>
            <w:hideMark/>
          </w:tcPr>
          <w:p w14:paraId="0EE21D6E"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138FCB19"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Tiempo promedio empleado en enviar el total del formulario.</w:t>
            </w:r>
          </w:p>
        </w:tc>
      </w:tr>
      <w:tr w:rsidR="00B96AC8" w:rsidRPr="00B96AC8" w14:paraId="24506D04" w14:textId="77777777" w:rsidTr="00460317">
        <w:trPr>
          <w:trHeight w:val="283"/>
        </w:trPr>
        <w:tc>
          <w:tcPr>
            <w:tcW w:w="1921" w:type="dxa"/>
            <w:vMerge/>
            <w:shd w:val="clear" w:color="auto" w:fill="4266CE"/>
            <w:vAlign w:val="center"/>
            <w:hideMark/>
          </w:tcPr>
          <w:p w14:paraId="5AE40B96"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799D5846"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el cierre del levantamiento de la información.</w:t>
            </w:r>
          </w:p>
        </w:tc>
      </w:tr>
      <w:tr w:rsidR="00B96AC8" w:rsidRPr="00B96AC8" w14:paraId="78E41071" w14:textId="77777777" w:rsidTr="00460317">
        <w:trPr>
          <w:trHeight w:val="283"/>
        </w:trPr>
        <w:tc>
          <w:tcPr>
            <w:tcW w:w="1921" w:type="dxa"/>
            <w:vMerge/>
            <w:shd w:val="clear" w:color="auto" w:fill="4266CE"/>
            <w:vAlign w:val="center"/>
            <w:hideMark/>
          </w:tcPr>
          <w:p w14:paraId="3C73086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2415F1A5" w14:textId="77777777" w:rsidR="00B96AC8" w:rsidRPr="00B96AC8" w:rsidRDefault="00B96AC8" w:rsidP="00B96AC8">
            <w:pPr>
              <w:rPr>
                <w:rFonts w:ascii="Century Gothic" w:eastAsia="Times New Roman" w:hAnsi="Century Gothic" w:cs="Calibri"/>
                <w:b/>
                <w:bCs/>
                <w:color w:val="FFFFFF"/>
                <w:sz w:val="18"/>
                <w:szCs w:val="18"/>
                <w:lang w:eastAsia="es-EC"/>
              </w:rPr>
            </w:pPr>
            <w:r w:rsidRPr="00460317">
              <w:rPr>
                <w:rFonts w:ascii="Century Gothic" w:eastAsia="Times New Roman" w:hAnsi="Century Gothic" w:cs="Calibri"/>
                <w:b/>
                <w:bCs/>
                <w:color w:val="FFFFFF" w:themeColor="background1"/>
                <w:sz w:val="18"/>
                <w:szCs w:val="18"/>
                <w:lang w:eastAsia="es-EC"/>
              </w:rPr>
              <w:t>Procesamiento</w:t>
            </w:r>
          </w:p>
        </w:tc>
      </w:tr>
      <w:tr w:rsidR="00B96AC8" w:rsidRPr="00B96AC8" w14:paraId="0219D34F" w14:textId="77777777" w:rsidTr="00460317">
        <w:trPr>
          <w:trHeight w:val="283"/>
        </w:trPr>
        <w:tc>
          <w:tcPr>
            <w:tcW w:w="1921" w:type="dxa"/>
            <w:vMerge/>
            <w:shd w:val="clear" w:color="auto" w:fill="4266CE"/>
            <w:vAlign w:val="center"/>
            <w:hideMark/>
          </w:tcPr>
          <w:p w14:paraId="6057C68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2267C5BE"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el cierre de la crítica y codificación.</w:t>
            </w:r>
          </w:p>
        </w:tc>
      </w:tr>
      <w:tr w:rsidR="00B96AC8" w:rsidRPr="00B96AC8" w14:paraId="6CF9311B" w14:textId="77777777" w:rsidTr="00460317">
        <w:trPr>
          <w:trHeight w:val="283"/>
        </w:trPr>
        <w:tc>
          <w:tcPr>
            <w:tcW w:w="1921" w:type="dxa"/>
            <w:vMerge/>
            <w:shd w:val="clear" w:color="auto" w:fill="4266CE"/>
            <w:vAlign w:val="center"/>
            <w:hideMark/>
          </w:tcPr>
          <w:p w14:paraId="33CC238A"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97C348F"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generación de la base de datos micro.</w:t>
            </w:r>
          </w:p>
        </w:tc>
      </w:tr>
      <w:tr w:rsidR="00B96AC8" w:rsidRPr="00B96AC8" w14:paraId="1AEC04D1" w14:textId="77777777" w:rsidTr="00460317">
        <w:trPr>
          <w:trHeight w:val="283"/>
        </w:trPr>
        <w:tc>
          <w:tcPr>
            <w:tcW w:w="1921" w:type="dxa"/>
            <w:vMerge/>
            <w:shd w:val="clear" w:color="auto" w:fill="4266CE"/>
            <w:vAlign w:val="center"/>
            <w:hideMark/>
          </w:tcPr>
          <w:p w14:paraId="2EDDCCE0"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E096ECA"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generación de base de datos macro.</w:t>
            </w:r>
          </w:p>
        </w:tc>
      </w:tr>
      <w:tr w:rsidR="00B96AC8" w:rsidRPr="00B96AC8" w14:paraId="25109176" w14:textId="77777777" w:rsidTr="00460317">
        <w:trPr>
          <w:trHeight w:val="283"/>
        </w:trPr>
        <w:tc>
          <w:tcPr>
            <w:tcW w:w="1921" w:type="dxa"/>
            <w:vMerge/>
            <w:shd w:val="clear" w:color="auto" w:fill="4266CE"/>
            <w:vAlign w:val="center"/>
            <w:hideMark/>
          </w:tcPr>
          <w:p w14:paraId="6B8179B3"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6126B592"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la entrega de la base de cobertura para la generación de factores de expansión.</w:t>
            </w:r>
          </w:p>
        </w:tc>
      </w:tr>
      <w:tr w:rsidR="00B96AC8" w:rsidRPr="00B96AC8" w14:paraId="4C94A964" w14:textId="77777777" w:rsidTr="00460317">
        <w:trPr>
          <w:trHeight w:val="283"/>
        </w:trPr>
        <w:tc>
          <w:tcPr>
            <w:tcW w:w="1921" w:type="dxa"/>
            <w:vMerge/>
            <w:shd w:val="clear" w:color="auto" w:fill="4266CE"/>
            <w:vAlign w:val="center"/>
            <w:hideMark/>
          </w:tcPr>
          <w:p w14:paraId="07A9132B"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7C510E0B"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de entrega de factores de expansión.</w:t>
            </w:r>
          </w:p>
        </w:tc>
      </w:tr>
      <w:tr w:rsidR="00B96AC8" w:rsidRPr="00B96AC8" w14:paraId="4E531DDA" w14:textId="77777777" w:rsidTr="00460317">
        <w:trPr>
          <w:trHeight w:val="283"/>
        </w:trPr>
        <w:tc>
          <w:tcPr>
            <w:tcW w:w="1921" w:type="dxa"/>
            <w:vMerge/>
            <w:shd w:val="clear" w:color="auto" w:fill="4266CE"/>
            <w:vAlign w:val="center"/>
            <w:hideMark/>
          </w:tcPr>
          <w:p w14:paraId="7E3342A8"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0F91255D" w14:textId="77777777" w:rsidR="00B96AC8" w:rsidRPr="00B96AC8" w:rsidRDefault="00B96AC8" w:rsidP="00B96AC8">
            <w:pPr>
              <w:rPr>
                <w:rFonts w:ascii="Century Gothic" w:eastAsia="Times New Roman" w:hAnsi="Century Gothic" w:cs="Calibri"/>
                <w:b/>
                <w:bCs/>
                <w:color w:val="FFFFFF"/>
                <w:sz w:val="18"/>
                <w:szCs w:val="18"/>
                <w:lang w:eastAsia="es-EC"/>
              </w:rPr>
            </w:pPr>
            <w:r w:rsidRPr="00460317">
              <w:rPr>
                <w:rFonts w:ascii="Century Gothic" w:eastAsia="Times New Roman" w:hAnsi="Century Gothic" w:cs="Calibri"/>
                <w:b/>
                <w:bCs/>
                <w:color w:val="FFFFFF" w:themeColor="background1"/>
                <w:sz w:val="18"/>
                <w:szCs w:val="18"/>
                <w:lang w:eastAsia="es-EC"/>
              </w:rPr>
              <w:t>Análisis</w:t>
            </w:r>
          </w:p>
        </w:tc>
      </w:tr>
      <w:tr w:rsidR="00B96AC8" w:rsidRPr="00B96AC8" w14:paraId="430212DD" w14:textId="77777777" w:rsidTr="00460317">
        <w:trPr>
          <w:trHeight w:val="283"/>
        </w:trPr>
        <w:tc>
          <w:tcPr>
            <w:tcW w:w="1921" w:type="dxa"/>
            <w:vMerge/>
            <w:shd w:val="clear" w:color="auto" w:fill="4266CE"/>
            <w:vAlign w:val="center"/>
            <w:hideMark/>
          </w:tcPr>
          <w:p w14:paraId="65AD0F7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B36DE7C" w14:textId="77777777" w:rsidR="00B96AC8" w:rsidRPr="00B96AC8" w:rsidRDefault="00B96AC8" w:rsidP="00B96AC8">
            <w:pPr>
              <w:rPr>
                <w:rFonts w:ascii="Century Gothic" w:eastAsia="Times New Roman" w:hAnsi="Century Gothic" w:cs="Calibri"/>
                <w:color w:val="6E6E6E"/>
                <w:sz w:val="18"/>
                <w:szCs w:val="18"/>
                <w:lang w:eastAsia="es-EC"/>
              </w:rPr>
            </w:pPr>
            <w:r w:rsidRPr="00B96AC8">
              <w:rPr>
                <w:rFonts w:ascii="Century Gothic" w:eastAsia="Times New Roman" w:hAnsi="Century Gothic" w:cs="Calibri"/>
                <w:color w:val="6E6E6E"/>
                <w:sz w:val="18"/>
                <w:szCs w:val="18"/>
                <w:lang w:eastAsia="es-EC"/>
              </w:rPr>
              <w:t>Puntualidad en la carga de productos mínimos estadísticos.</w:t>
            </w:r>
          </w:p>
        </w:tc>
      </w:tr>
      <w:tr w:rsidR="00B96AC8" w:rsidRPr="00B96AC8" w14:paraId="4795868F" w14:textId="77777777" w:rsidTr="00460317">
        <w:trPr>
          <w:trHeight w:val="283"/>
        </w:trPr>
        <w:tc>
          <w:tcPr>
            <w:tcW w:w="1921" w:type="dxa"/>
            <w:vMerge/>
            <w:shd w:val="clear" w:color="auto" w:fill="4266CE"/>
            <w:vAlign w:val="center"/>
            <w:hideMark/>
          </w:tcPr>
          <w:p w14:paraId="419A7DA1"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5ED25F0E"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Difusión</w:t>
            </w:r>
          </w:p>
        </w:tc>
      </w:tr>
      <w:tr w:rsidR="00B96AC8" w:rsidRPr="00B96AC8" w14:paraId="2ABE3E3F" w14:textId="77777777" w:rsidTr="00460317">
        <w:trPr>
          <w:trHeight w:val="283"/>
        </w:trPr>
        <w:tc>
          <w:tcPr>
            <w:tcW w:w="1921" w:type="dxa"/>
            <w:vMerge/>
            <w:shd w:val="clear" w:color="auto" w:fill="4266CE"/>
            <w:vAlign w:val="center"/>
            <w:hideMark/>
          </w:tcPr>
          <w:p w14:paraId="4E57FA0F"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2020F0AF"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Puntualidad en la difusión (calendario estadístico)*.</w:t>
            </w:r>
          </w:p>
        </w:tc>
      </w:tr>
      <w:tr w:rsidR="00B96AC8" w:rsidRPr="00B96AC8" w14:paraId="755BBEAD" w14:textId="77777777" w:rsidTr="00460317">
        <w:trPr>
          <w:trHeight w:val="283"/>
        </w:trPr>
        <w:tc>
          <w:tcPr>
            <w:tcW w:w="1921" w:type="dxa"/>
            <w:vMerge/>
            <w:shd w:val="clear" w:color="auto" w:fill="4266CE"/>
            <w:vAlign w:val="center"/>
            <w:hideMark/>
          </w:tcPr>
          <w:p w14:paraId="5F66B41A"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21832A6"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Oportunidad en la difusión de resultados.</w:t>
            </w:r>
          </w:p>
        </w:tc>
      </w:tr>
      <w:tr w:rsidR="00B96AC8" w:rsidRPr="00B96AC8" w14:paraId="441D4B1B" w14:textId="77777777" w:rsidTr="00460317">
        <w:trPr>
          <w:trHeight w:val="283"/>
        </w:trPr>
        <w:tc>
          <w:tcPr>
            <w:tcW w:w="1921" w:type="dxa"/>
            <w:vMerge/>
            <w:shd w:val="clear" w:color="auto" w:fill="4266CE"/>
            <w:vAlign w:val="center"/>
            <w:hideMark/>
          </w:tcPr>
          <w:p w14:paraId="5BAEF1C7"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617E44AB"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Índice de desfase*.</w:t>
            </w:r>
          </w:p>
        </w:tc>
      </w:tr>
      <w:tr w:rsidR="00B96AC8" w:rsidRPr="00B96AC8" w14:paraId="635F3047" w14:textId="77777777" w:rsidTr="00460317">
        <w:trPr>
          <w:trHeight w:val="283"/>
        </w:trPr>
        <w:tc>
          <w:tcPr>
            <w:tcW w:w="1921" w:type="dxa"/>
            <w:vMerge w:val="restart"/>
            <w:shd w:val="clear" w:color="auto" w:fill="4266CE"/>
            <w:vAlign w:val="center"/>
            <w:hideMark/>
          </w:tcPr>
          <w:p w14:paraId="32D735BB" w14:textId="77777777" w:rsidR="00B96AC8" w:rsidRPr="00B96AC8" w:rsidRDefault="00B96AC8" w:rsidP="00460317">
            <w:pPr>
              <w:jc w:val="center"/>
              <w:rPr>
                <w:rFonts w:ascii="Century Gothic" w:eastAsia="Times New Roman" w:hAnsi="Century Gothic" w:cs="Calibri"/>
                <w:color w:val="FFFFFF"/>
                <w:sz w:val="18"/>
                <w:szCs w:val="18"/>
                <w:lang w:eastAsia="es-EC"/>
              </w:rPr>
            </w:pPr>
            <w:r w:rsidRPr="00460317">
              <w:rPr>
                <w:rFonts w:ascii="Century Gothic" w:eastAsia="Times New Roman" w:hAnsi="Century Gothic" w:cs="Calibri"/>
                <w:b/>
                <w:bCs/>
                <w:color w:val="FFFFFF" w:themeColor="background1"/>
                <w:sz w:val="18"/>
                <w:szCs w:val="18"/>
                <w:lang w:eastAsia="es-EC"/>
              </w:rPr>
              <w:t>Procedimientos estadísticos adecuados</w:t>
            </w:r>
          </w:p>
        </w:tc>
        <w:tc>
          <w:tcPr>
            <w:tcW w:w="7205" w:type="dxa"/>
            <w:shd w:val="clear" w:color="auto" w:fill="4266CE"/>
            <w:noWrap/>
            <w:vAlign w:val="center"/>
            <w:hideMark/>
          </w:tcPr>
          <w:p w14:paraId="0535287F" w14:textId="77777777" w:rsidR="00B96AC8" w:rsidRPr="00B96AC8" w:rsidRDefault="00B96AC8" w:rsidP="00B96AC8">
            <w:pPr>
              <w:rPr>
                <w:rFonts w:ascii="Century Gothic" w:eastAsia="Times New Roman" w:hAnsi="Century Gothic" w:cs="Calibri"/>
                <w:b/>
                <w:bCs/>
                <w:color w:val="FFFFFF"/>
                <w:sz w:val="18"/>
                <w:szCs w:val="18"/>
                <w:lang w:eastAsia="es-EC"/>
              </w:rPr>
            </w:pPr>
            <w:r w:rsidRPr="00460317">
              <w:rPr>
                <w:rFonts w:ascii="Century Gothic" w:eastAsia="Times New Roman" w:hAnsi="Century Gothic" w:cs="Calibri"/>
                <w:b/>
                <w:bCs/>
                <w:color w:val="FFFFFF" w:themeColor="background1"/>
                <w:sz w:val="18"/>
                <w:szCs w:val="18"/>
                <w:lang w:eastAsia="es-EC"/>
              </w:rPr>
              <w:t>Planificación</w:t>
            </w:r>
          </w:p>
        </w:tc>
      </w:tr>
      <w:tr w:rsidR="00B96AC8" w:rsidRPr="00B96AC8" w14:paraId="775A615A" w14:textId="77777777" w:rsidTr="00460317">
        <w:trPr>
          <w:trHeight w:val="283"/>
        </w:trPr>
        <w:tc>
          <w:tcPr>
            <w:tcW w:w="1921" w:type="dxa"/>
            <w:vMerge/>
            <w:shd w:val="clear" w:color="auto" w:fill="4266CE"/>
            <w:vAlign w:val="center"/>
            <w:hideMark/>
          </w:tcPr>
          <w:p w14:paraId="55CC1112"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10B7D45B" w14:textId="77777777" w:rsidR="00B96AC8" w:rsidRPr="00B96AC8" w:rsidRDefault="00B96AC8" w:rsidP="00B96AC8">
            <w:pPr>
              <w:rPr>
                <w:rFonts w:ascii="Century Gothic" w:eastAsia="Times New Roman" w:hAnsi="Century Gothic" w:cs="Calibri"/>
                <w:color w:val="595959"/>
                <w:sz w:val="18"/>
                <w:szCs w:val="18"/>
                <w:lang w:eastAsia="es-EC"/>
              </w:rPr>
            </w:pPr>
            <w:r w:rsidRPr="00B96AC8">
              <w:rPr>
                <w:rFonts w:ascii="Century Gothic" w:eastAsia="Times New Roman" w:hAnsi="Century Gothic" w:cs="Calibri"/>
                <w:color w:val="595959"/>
                <w:sz w:val="18"/>
                <w:szCs w:val="18"/>
                <w:lang w:eastAsia="es-EC"/>
              </w:rPr>
              <w:t>Porcentaje de personal técnico contratado para el proceso de producción de la OE.</w:t>
            </w:r>
          </w:p>
        </w:tc>
      </w:tr>
      <w:tr w:rsidR="00B96AC8" w:rsidRPr="00B96AC8" w14:paraId="78BA6A98" w14:textId="77777777" w:rsidTr="00460317">
        <w:trPr>
          <w:trHeight w:val="283"/>
        </w:trPr>
        <w:tc>
          <w:tcPr>
            <w:tcW w:w="1921" w:type="dxa"/>
            <w:vMerge/>
            <w:shd w:val="clear" w:color="auto" w:fill="4266CE"/>
            <w:vAlign w:val="center"/>
            <w:hideMark/>
          </w:tcPr>
          <w:p w14:paraId="61559FAC"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2CDB6B91" w14:textId="77777777" w:rsidR="00B96AC8" w:rsidRPr="00B96AC8" w:rsidRDefault="00B96AC8" w:rsidP="00460317">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Diseño</w:t>
            </w:r>
          </w:p>
        </w:tc>
      </w:tr>
      <w:tr w:rsidR="00B96AC8" w:rsidRPr="00B96AC8" w14:paraId="396634EC" w14:textId="77777777" w:rsidTr="00460317">
        <w:trPr>
          <w:trHeight w:val="283"/>
        </w:trPr>
        <w:tc>
          <w:tcPr>
            <w:tcW w:w="1921" w:type="dxa"/>
            <w:vMerge/>
            <w:shd w:val="clear" w:color="auto" w:fill="4266CE"/>
            <w:vAlign w:val="center"/>
            <w:hideMark/>
          </w:tcPr>
          <w:p w14:paraId="22985004"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48427A9A" w14:textId="77777777" w:rsidR="00B96AC8" w:rsidRPr="00B96AC8" w:rsidRDefault="00B96AC8" w:rsidP="00B96AC8">
            <w:pPr>
              <w:rPr>
                <w:rFonts w:ascii="Century Gothic" w:eastAsia="Times New Roman" w:hAnsi="Century Gothic" w:cs="Calibri"/>
                <w:color w:val="595959"/>
                <w:sz w:val="18"/>
                <w:szCs w:val="18"/>
                <w:lang w:eastAsia="es-EC"/>
              </w:rPr>
            </w:pPr>
            <w:r w:rsidRPr="00B96AC8">
              <w:rPr>
                <w:rFonts w:ascii="Century Gothic" w:eastAsia="Times New Roman" w:hAnsi="Century Gothic" w:cs="Calibri"/>
                <w:color w:val="595959"/>
                <w:sz w:val="18"/>
                <w:szCs w:val="18"/>
                <w:lang w:eastAsia="es-EC"/>
              </w:rPr>
              <w:t>Número de veces que se remite el insumo para el cálculo de la muestra a DINEM.</w:t>
            </w:r>
          </w:p>
        </w:tc>
      </w:tr>
      <w:tr w:rsidR="00B96AC8" w:rsidRPr="00B96AC8" w14:paraId="7773151F" w14:textId="77777777" w:rsidTr="00460317">
        <w:trPr>
          <w:trHeight w:val="283"/>
        </w:trPr>
        <w:tc>
          <w:tcPr>
            <w:tcW w:w="1921" w:type="dxa"/>
            <w:vMerge/>
            <w:shd w:val="clear" w:color="auto" w:fill="4266CE"/>
            <w:vAlign w:val="center"/>
            <w:hideMark/>
          </w:tcPr>
          <w:p w14:paraId="21090672"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72490C8B"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Construcción</w:t>
            </w:r>
          </w:p>
        </w:tc>
      </w:tr>
      <w:tr w:rsidR="00B96AC8" w:rsidRPr="00B96AC8" w14:paraId="6198063D" w14:textId="77777777" w:rsidTr="00460317">
        <w:trPr>
          <w:trHeight w:val="283"/>
        </w:trPr>
        <w:tc>
          <w:tcPr>
            <w:tcW w:w="1921" w:type="dxa"/>
            <w:vMerge/>
            <w:shd w:val="clear" w:color="auto" w:fill="4266CE"/>
            <w:vAlign w:val="center"/>
            <w:hideMark/>
          </w:tcPr>
          <w:p w14:paraId="14FE445E"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79919898"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cumplimiento de pruebas a los desarrollos tecnológicos (funcionalidad, estrés, carga, QA, etc.).</w:t>
            </w:r>
          </w:p>
        </w:tc>
      </w:tr>
      <w:tr w:rsidR="00B96AC8" w:rsidRPr="00B96AC8" w14:paraId="1C62EEF2" w14:textId="77777777" w:rsidTr="00460317">
        <w:trPr>
          <w:trHeight w:val="283"/>
        </w:trPr>
        <w:tc>
          <w:tcPr>
            <w:tcW w:w="1921" w:type="dxa"/>
            <w:vMerge/>
            <w:shd w:val="clear" w:color="auto" w:fill="4266CE"/>
            <w:vAlign w:val="center"/>
            <w:hideMark/>
          </w:tcPr>
          <w:p w14:paraId="2034384A"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E603877"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ejecución de pruebas piloto (instrumentos y operativo).</w:t>
            </w:r>
          </w:p>
        </w:tc>
      </w:tr>
      <w:tr w:rsidR="00B96AC8" w:rsidRPr="00B96AC8" w14:paraId="477B8DA9" w14:textId="77777777" w:rsidTr="00460317">
        <w:trPr>
          <w:trHeight w:val="283"/>
        </w:trPr>
        <w:tc>
          <w:tcPr>
            <w:tcW w:w="1921" w:type="dxa"/>
            <w:vMerge/>
            <w:shd w:val="clear" w:color="auto" w:fill="4266CE"/>
            <w:vAlign w:val="center"/>
            <w:hideMark/>
          </w:tcPr>
          <w:p w14:paraId="1A7578DB"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27AA3337"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Recolección</w:t>
            </w:r>
          </w:p>
        </w:tc>
      </w:tr>
      <w:tr w:rsidR="00B96AC8" w:rsidRPr="00B96AC8" w14:paraId="1B7DA745" w14:textId="77777777" w:rsidTr="00460317">
        <w:trPr>
          <w:trHeight w:val="283"/>
        </w:trPr>
        <w:tc>
          <w:tcPr>
            <w:tcW w:w="1921" w:type="dxa"/>
            <w:vMerge/>
            <w:shd w:val="clear" w:color="auto" w:fill="4266CE"/>
            <w:vAlign w:val="center"/>
            <w:hideMark/>
          </w:tcPr>
          <w:p w14:paraId="69F66D93"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2DD690CC"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días empleados para la capacitación.</w:t>
            </w:r>
          </w:p>
        </w:tc>
      </w:tr>
      <w:tr w:rsidR="00B96AC8" w:rsidRPr="00B96AC8" w14:paraId="597A4762" w14:textId="77777777" w:rsidTr="00460317">
        <w:trPr>
          <w:trHeight w:val="283"/>
        </w:trPr>
        <w:tc>
          <w:tcPr>
            <w:tcW w:w="1921" w:type="dxa"/>
            <w:vMerge/>
            <w:shd w:val="clear" w:color="auto" w:fill="4266CE"/>
            <w:vAlign w:val="center"/>
            <w:hideMark/>
          </w:tcPr>
          <w:p w14:paraId="3E86CEA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4B25BD8"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personal contratado al inicio del operativo de campo.</w:t>
            </w:r>
          </w:p>
        </w:tc>
      </w:tr>
      <w:tr w:rsidR="00B96AC8" w:rsidRPr="00B96AC8" w14:paraId="1AAFA859" w14:textId="77777777" w:rsidTr="00460317">
        <w:trPr>
          <w:trHeight w:val="283"/>
        </w:trPr>
        <w:tc>
          <w:tcPr>
            <w:tcW w:w="1921" w:type="dxa"/>
            <w:vMerge/>
            <w:shd w:val="clear" w:color="auto" w:fill="4266CE"/>
            <w:vAlign w:val="center"/>
            <w:hideMark/>
          </w:tcPr>
          <w:p w14:paraId="4311533E"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AB346CC"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vehículos contratados al inicio del operativo de campo.</w:t>
            </w:r>
          </w:p>
        </w:tc>
      </w:tr>
      <w:tr w:rsidR="00B96AC8" w:rsidRPr="00B96AC8" w14:paraId="3DD3EF1E" w14:textId="77777777" w:rsidTr="00460317">
        <w:trPr>
          <w:trHeight w:val="283"/>
        </w:trPr>
        <w:tc>
          <w:tcPr>
            <w:tcW w:w="1921" w:type="dxa"/>
            <w:vMerge/>
            <w:shd w:val="clear" w:color="auto" w:fill="4266CE"/>
            <w:vAlign w:val="center"/>
            <w:hideMark/>
          </w:tcPr>
          <w:p w14:paraId="5FDA2690"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4F06400C"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Número de solicitudes de cambios/actualizaciones en el desarrollo tecnológico.</w:t>
            </w:r>
          </w:p>
        </w:tc>
      </w:tr>
      <w:tr w:rsidR="00B96AC8" w:rsidRPr="00B96AC8" w14:paraId="3FAADABA" w14:textId="77777777" w:rsidTr="00460317">
        <w:trPr>
          <w:trHeight w:val="283"/>
        </w:trPr>
        <w:tc>
          <w:tcPr>
            <w:tcW w:w="1921" w:type="dxa"/>
            <w:vMerge/>
            <w:shd w:val="clear" w:color="auto" w:fill="4266CE"/>
            <w:vAlign w:val="center"/>
            <w:hideMark/>
          </w:tcPr>
          <w:p w14:paraId="068914D0"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3F02AE8"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Horas promedio que estuvo caído el aplicativo.</w:t>
            </w:r>
          </w:p>
        </w:tc>
      </w:tr>
      <w:tr w:rsidR="00B96AC8" w:rsidRPr="00B96AC8" w14:paraId="53B2459B" w14:textId="77777777" w:rsidTr="00460317">
        <w:trPr>
          <w:trHeight w:val="283"/>
        </w:trPr>
        <w:tc>
          <w:tcPr>
            <w:tcW w:w="1921" w:type="dxa"/>
            <w:vMerge/>
            <w:shd w:val="clear" w:color="auto" w:fill="4266CE"/>
            <w:vAlign w:val="center"/>
            <w:hideMark/>
          </w:tcPr>
          <w:p w14:paraId="1895E03F"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48C8A016"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Horas promedio que el aplicativo permanece lento.</w:t>
            </w:r>
          </w:p>
        </w:tc>
      </w:tr>
      <w:tr w:rsidR="00B96AC8" w:rsidRPr="00B96AC8" w14:paraId="3FE1104D" w14:textId="77777777" w:rsidTr="00460317">
        <w:trPr>
          <w:trHeight w:val="283"/>
        </w:trPr>
        <w:tc>
          <w:tcPr>
            <w:tcW w:w="1921" w:type="dxa"/>
            <w:vMerge/>
            <w:shd w:val="clear" w:color="auto" w:fill="4266CE"/>
            <w:vAlign w:val="center"/>
            <w:hideMark/>
          </w:tcPr>
          <w:p w14:paraId="79252E70"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22736471"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Número de errores presentados en el aplicativo.</w:t>
            </w:r>
          </w:p>
        </w:tc>
      </w:tr>
      <w:tr w:rsidR="00B96AC8" w:rsidRPr="00B96AC8" w14:paraId="49FC49FD" w14:textId="77777777" w:rsidTr="00460317">
        <w:trPr>
          <w:trHeight w:val="283"/>
        </w:trPr>
        <w:tc>
          <w:tcPr>
            <w:tcW w:w="1921" w:type="dxa"/>
            <w:vMerge/>
            <w:shd w:val="clear" w:color="auto" w:fill="4266CE"/>
            <w:vAlign w:val="center"/>
            <w:hideMark/>
          </w:tcPr>
          <w:p w14:paraId="383B3E3A"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3CF1242"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formularios de papel empleados en la encuesta.</w:t>
            </w:r>
          </w:p>
        </w:tc>
      </w:tr>
      <w:tr w:rsidR="00B96AC8" w:rsidRPr="00B96AC8" w14:paraId="3D1E00B6" w14:textId="77777777" w:rsidTr="00460317">
        <w:trPr>
          <w:trHeight w:val="283"/>
        </w:trPr>
        <w:tc>
          <w:tcPr>
            <w:tcW w:w="1921" w:type="dxa"/>
            <w:vMerge/>
            <w:shd w:val="clear" w:color="auto" w:fill="4266CE"/>
            <w:vAlign w:val="center"/>
            <w:hideMark/>
          </w:tcPr>
          <w:p w14:paraId="6EAF4AD8"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5D73BCD"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formularios que se levantan a través de gestión telemática.</w:t>
            </w:r>
          </w:p>
        </w:tc>
      </w:tr>
      <w:tr w:rsidR="00B96AC8" w:rsidRPr="00B96AC8" w14:paraId="3357408B" w14:textId="77777777" w:rsidTr="00460317">
        <w:trPr>
          <w:trHeight w:val="283"/>
        </w:trPr>
        <w:tc>
          <w:tcPr>
            <w:tcW w:w="1921" w:type="dxa"/>
            <w:vMerge/>
            <w:shd w:val="clear" w:color="auto" w:fill="4266CE"/>
            <w:vAlign w:val="center"/>
            <w:hideMark/>
          </w:tcPr>
          <w:p w14:paraId="430E2CC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11D85590" w14:textId="77777777" w:rsidR="00B96AC8" w:rsidRPr="00B96AC8" w:rsidRDefault="00B96AC8" w:rsidP="00B96AC8">
            <w:pPr>
              <w:rPr>
                <w:rFonts w:ascii="Century Gothic" w:eastAsia="Times New Roman" w:hAnsi="Century Gothic" w:cs="Calibri"/>
                <w:b/>
                <w:bCs/>
                <w:color w:val="FFFFFF"/>
                <w:sz w:val="18"/>
                <w:szCs w:val="18"/>
                <w:lang w:eastAsia="es-EC"/>
              </w:rPr>
            </w:pPr>
            <w:r w:rsidRPr="00460317">
              <w:rPr>
                <w:rFonts w:ascii="Century Gothic" w:eastAsia="Times New Roman" w:hAnsi="Century Gothic" w:cs="Calibri"/>
                <w:b/>
                <w:bCs/>
                <w:color w:val="FFFFFF" w:themeColor="background1"/>
                <w:sz w:val="18"/>
                <w:szCs w:val="18"/>
                <w:lang w:eastAsia="es-EC"/>
              </w:rPr>
              <w:t>Procesamiento</w:t>
            </w:r>
          </w:p>
        </w:tc>
      </w:tr>
      <w:tr w:rsidR="00B96AC8" w:rsidRPr="00B96AC8" w14:paraId="1ABC27D3" w14:textId="77777777" w:rsidTr="00460317">
        <w:trPr>
          <w:trHeight w:val="283"/>
        </w:trPr>
        <w:tc>
          <w:tcPr>
            <w:tcW w:w="1921" w:type="dxa"/>
            <w:vMerge/>
            <w:shd w:val="clear" w:color="auto" w:fill="4266CE"/>
            <w:vAlign w:val="center"/>
            <w:hideMark/>
          </w:tcPr>
          <w:p w14:paraId="3553D60F"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6C47D4D0" w14:textId="77777777" w:rsidR="00B96AC8" w:rsidRPr="00B96AC8" w:rsidRDefault="00B96AC8" w:rsidP="00B96AC8">
            <w:pPr>
              <w:rPr>
                <w:rFonts w:ascii="Century Gothic" w:eastAsia="Times New Roman" w:hAnsi="Century Gothic" w:cs="Calibri"/>
                <w:color w:val="595959"/>
                <w:sz w:val="18"/>
                <w:szCs w:val="18"/>
                <w:lang w:eastAsia="es-EC"/>
              </w:rPr>
            </w:pPr>
            <w:r w:rsidRPr="00B96AC8">
              <w:rPr>
                <w:rFonts w:ascii="Century Gothic" w:eastAsia="Times New Roman" w:hAnsi="Century Gothic" w:cs="Calibri"/>
                <w:color w:val="6E6E7C"/>
                <w:sz w:val="18"/>
                <w:szCs w:val="18"/>
                <w:lang w:eastAsia="es-EC"/>
              </w:rPr>
              <w:t xml:space="preserve">Numero de </w:t>
            </w:r>
            <w:proofErr w:type="spellStart"/>
            <w:r w:rsidRPr="00B96AC8">
              <w:rPr>
                <w:rFonts w:ascii="Century Gothic" w:eastAsia="Times New Roman" w:hAnsi="Century Gothic" w:cs="Calibri"/>
                <w:color w:val="6E6E7C"/>
                <w:sz w:val="18"/>
                <w:szCs w:val="18"/>
                <w:lang w:eastAsia="es-EC"/>
              </w:rPr>
              <w:t>BDDs</w:t>
            </w:r>
            <w:proofErr w:type="spellEnd"/>
            <w:r w:rsidRPr="00B96AC8">
              <w:rPr>
                <w:rFonts w:ascii="Century Gothic" w:eastAsia="Times New Roman" w:hAnsi="Century Gothic" w:cs="Calibri"/>
                <w:color w:val="6E6E7C"/>
                <w:sz w:val="18"/>
                <w:szCs w:val="18"/>
                <w:lang w:eastAsia="es-EC"/>
              </w:rPr>
              <w:t xml:space="preserve"> macro recibidas para la generación de factores de expansión.</w:t>
            </w:r>
          </w:p>
        </w:tc>
      </w:tr>
      <w:tr w:rsidR="00B96AC8" w:rsidRPr="00B96AC8" w14:paraId="00647ED4" w14:textId="77777777" w:rsidTr="00460317">
        <w:trPr>
          <w:trHeight w:val="283"/>
        </w:trPr>
        <w:tc>
          <w:tcPr>
            <w:tcW w:w="1921" w:type="dxa"/>
            <w:vMerge w:val="restart"/>
            <w:shd w:val="clear" w:color="auto" w:fill="4266CE"/>
            <w:vAlign w:val="center"/>
            <w:hideMark/>
          </w:tcPr>
          <w:p w14:paraId="3F5091A9" w14:textId="77777777" w:rsidR="00B96AC8" w:rsidRPr="00460317" w:rsidRDefault="00B96AC8" w:rsidP="00460317">
            <w:pPr>
              <w:jc w:val="center"/>
              <w:rPr>
                <w:rFonts w:ascii="Century Gothic" w:eastAsia="Times New Roman" w:hAnsi="Century Gothic" w:cs="Calibri"/>
                <w:b/>
                <w:bCs/>
                <w:color w:val="FFFFFF" w:themeColor="background1"/>
                <w:sz w:val="18"/>
                <w:szCs w:val="18"/>
                <w:lang w:eastAsia="es-EC"/>
              </w:rPr>
            </w:pPr>
            <w:r w:rsidRPr="00460317">
              <w:rPr>
                <w:rFonts w:ascii="Century Gothic" w:eastAsia="Times New Roman" w:hAnsi="Century Gothic" w:cs="Calibri"/>
                <w:b/>
                <w:bCs/>
                <w:color w:val="FFFFFF" w:themeColor="background1"/>
                <w:sz w:val="18"/>
                <w:szCs w:val="18"/>
                <w:lang w:eastAsia="es-EC"/>
              </w:rPr>
              <w:t>Precisión y Confiabilidad</w:t>
            </w:r>
          </w:p>
        </w:tc>
        <w:tc>
          <w:tcPr>
            <w:tcW w:w="7205" w:type="dxa"/>
            <w:shd w:val="clear" w:color="auto" w:fill="4266CE"/>
            <w:noWrap/>
            <w:vAlign w:val="center"/>
            <w:hideMark/>
          </w:tcPr>
          <w:p w14:paraId="10F0C93A" w14:textId="77777777" w:rsidR="00B96AC8" w:rsidRPr="00460317" w:rsidRDefault="00B96AC8" w:rsidP="00460317">
            <w:pPr>
              <w:rPr>
                <w:rFonts w:ascii="Century Gothic" w:eastAsia="Times New Roman" w:hAnsi="Century Gothic" w:cs="Calibri"/>
                <w:b/>
                <w:bCs/>
                <w:color w:val="FFFFFF" w:themeColor="background1"/>
                <w:sz w:val="18"/>
                <w:szCs w:val="18"/>
                <w:lang w:eastAsia="es-EC"/>
              </w:rPr>
            </w:pPr>
            <w:r w:rsidRPr="00460317">
              <w:rPr>
                <w:rFonts w:ascii="Century Gothic" w:eastAsia="Times New Roman" w:hAnsi="Century Gothic" w:cs="Calibri"/>
                <w:b/>
                <w:bCs/>
                <w:color w:val="FFFFFF" w:themeColor="background1"/>
                <w:sz w:val="18"/>
                <w:szCs w:val="18"/>
                <w:lang w:eastAsia="es-EC"/>
              </w:rPr>
              <w:t>Recolección</w:t>
            </w:r>
          </w:p>
        </w:tc>
      </w:tr>
      <w:tr w:rsidR="00B96AC8" w:rsidRPr="00B96AC8" w14:paraId="01A5B34F" w14:textId="77777777" w:rsidTr="00460317">
        <w:trPr>
          <w:trHeight w:val="283"/>
        </w:trPr>
        <w:tc>
          <w:tcPr>
            <w:tcW w:w="1921" w:type="dxa"/>
            <w:vMerge/>
            <w:shd w:val="clear" w:color="auto" w:fill="FFF2CC"/>
            <w:vAlign w:val="center"/>
            <w:hideMark/>
          </w:tcPr>
          <w:p w14:paraId="2A624CCE"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182940C0"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Tasa de Cobertura*.</w:t>
            </w:r>
          </w:p>
        </w:tc>
      </w:tr>
      <w:tr w:rsidR="00B96AC8" w:rsidRPr="00B96AC8" w14:paraId="3560752E" w14:textId="77777777" w:rsidTr="00460317">
        <w:trPr>
          <w:trHeight w:val="283"/>
        </w:trPr>
        <w:tc>
          <w:tcPr>
            <w:tcW w:w="1921" w:type="dxa"/>
            <w:vMerge/>
            <w:shd w:val="clear" w:color="auto" w:fill="FFF2CC"/>
            <w:vAlign w:val="center"/>
            <w:hideMark/>
          </w:tcPr>
          <w:p w14:paraId="4CDCA1F5"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473E200D"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Tasa de Cobertura Operativa de campo.</w:t>
            </w:r>
          </w:p>
        </w:tc>
      </w:tr>
      <w:tr w:rsidR="00B96AC8" w:rsidRPr="00B96AC8" w14:paraId="6BD7E1BA" w14:textId="77777777" w:rsidTr="00460317">
        <w:trPr>
          <w:trHeight w:val="283"/>
        </w:trPr>
        <w:tc>
          <w:tcPr>
            <w:tcW w:w="1921" w:type="dxa"/>
            <w:vMerge/>
            <w:shd w:val="clear" w:color="auto" w:fill="FFF2CC"/>
            <w:vAlign w:val="center"/>
            <w:hideMark/>
          </w:tcPr>
          <w:p w14:paraId="507C331C"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47C1AB5D"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Tasa de Cobertura Efectiva de ejecución.</w:t>
            </w:r>
          </w:p>
        </w:tc>
      </w:tr>
      <w:tr w:rsidR="00B96AC8" w:rsidRPr="00B96AC8" w14:paraId="2B9AB3D0" w14:textId="77777777" w:rsidTr="00460317">
        <w:trPr>
          <w:trHeight w:val="283"/>
        </w:trPr>
        <w:tc>
          <w:tcPr>
            <w:tcW w:w="1921" w:type="dxa"/>
            <w:vMerge/>
            <w:shd w:val="clear" w:color="auto" w:fill="FFF2CC"/>
            <w:vAlign w:val="center"/>
            <w:hideMark/>
          </w:tcPr>
          <w:p w14:paraId="53FB9FB2"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772A44B4"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Tasa de Sobre cobertura*.</w:t>
            </w:r>
          </w:p>
        </w:tc>
      </w:tr>
      <w:tr w:rsidR="00B96AC8" w:rsidRPr="00B96AC8" w14:paraId="2A64342E" w14:textId="77777777" w:rsidTr="00460317">
        <w:trPr>
          <w:trHeight w:val="283"/>
        </w:trPr>
        <w:tc>
          <w:tcPr>
            <w:tcW w:w="1921" w:type="dxa"/>
            <w:vMerge/>
            <w:shd w:val="clear" w:color="auto" w:fill="FFF2CC"/>
            <w:vAlign w:val="center"/>
            <w:hideMark/>
          </w:tcPr>
          <w:p w14:paraId="68F1074E"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1B225E3"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rechazo.</w:t>
            </w:r>
          </w:p>
        </w:tc>
      </w:tr>
      <w:tr w:rsidR="00B96AC8" w:rsidRPr="00B96AC8" w14:paraId="66EAC704" w14:textId="77777777" w:rsidTr="00460317">
        <w:trPr>
          <w:trHeight w:val="283"/>
        </w:trPr>
        <w:tc>
          <w:tcPr>
            <w:tcW w:w="1921" w:type="dxa"/>
            <w:vMerge/>
            <w:shd w:val="clear" w:color="auto" w:fill="FFF2CC"/>
            <w:vAlign w:val="center"/>
            <w:hideMark/>
          </w:tcPr>
          <w:p w14:paraId="6132A3D3"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6EC3C1B2"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Procesamiento</w:t>
            </w:r>
          </w:p>
        </w:tc>
      </w:tr>
      <w:tr w:rsidR="00B96AC8" w:rsidRPr="00B96AC8" w14:paraId="01651F20" w14:textId="77777777" w:rsidTr="00460317">
        <w:trPr>
          <w:trHeight w:val="283"/>
        </w:trPr>
        <w:tc>
          <w:tcPr>
            <w:tcW w:w="1921" w:type="dxa"/>
            <w:vMerge/>
            <w:shd w:val="clear" w:color="auto" w:fill="FFF2CC"/>
            <w:vAlign w:val="center"/>
            <w:hideMark/>
          </w:tcPr>
          <w:p w14:paraId="57E1E04F"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F671A35"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ejecución de crítica.</w:t>
            </w:r>
          </w:p>
        </w:tc>
      </w:tr>
      <w:tr w:rsidR="00B96AC8" w:rsidRPr="00B96AC8" w14:paraId="486CE777" w14:textId="77777777" w:rsidTr="00460317">
        <w:trPr>
          <w:trHeight w:val="283"/>
        </w:trPr>
        <w:tc>
          <w:tcPr>
            <w:tcW w:w="1921" w:type="dxa"/>
            <w:vMerge/>
            <w:shd w:val="clear" w:color="auto" w:fill="FFF2CC"/>
            <w:vAlign w:val="center"/>
            <w:hideMark/>
          </w:tcPr>
          <w:p w14:paraId="1F67C720"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6B4EC874"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encuestas efectivas criticadas  ejecutadas  E/E.</w:t>
            </w:r>
          </w:p>
        </w:tc>
      </w:tr>
      <w:tr w:rsidR="00B96AC8" w:rsidRPr="00B96AC8" w14:paraId="0ECA8DE1" w14:textId="77777777" w:rsidTr="00460317">
        <w:trPr>
          <w:trHeight w:val="283"/>
        </w:trPr>
        <w:tc>
          <w:tcPr>
            <w:tcW w:w="1921" w:type="dxa"/>
            <w:vMerge/>
            <w:shd w:val="clear" w:color="auto" w:fill="FFF2CC"/>
            <w:vAlign w:val="center"/>
            <w:hideMark/>
          </w:tcPr>
          <w:p w14:paraId="14F88FE2"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1EB487CD"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revisiones de las BDD parciales –validación.</w:t>
            </w:r>
          </w:p>
        </w:tc>
      </w:tr>
      <w:tr w:rsidR="00B96AC8" w:rsidRPr="00B96AC8" w14:paraId="2C904465" w14:textId="77777777" w:rsidTr="00460317">
        <w:trPr>
          <w:trHeight w:val="283"/>
        </w:trPr>
        <w:tc>
          <w:tcPr>
            <w:tcW w:w="1921" w:type="dxa"/>
            <w:vMerge/>
            <w:shd w:val="clear" w:color="auto" w:fill="FFF2CC"/>
            <w:vAlign w:val="center"/>
            <w:hideMark/>
          </w:tcPr>
          <w:p w14:paraId="0BB1B261"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3B14EB36"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observaciones detectadas en validaciones -bases parciales.</w:t>
            </w:r>
          </w:p>
        </w:tc>
      </w:tr>
      <w:tr w:rsidR="00B96AC8" w:rsidRPr="00B96AC8" w14:paraId="2D4AC53E" w14:textId="77777777" w:rsidTr="00460317">
        <w:trPr>
          <w:trHeight w:val="283"/>
        </w:trPr>
        <w:tc>
          <w:tcPr>
            <w:tcW w:w="1921" w:type="dxa"/>
            <w:vMerge/>
            <w:shd w:val="clear" w:color="auto" w:fill="FFF2CC"/>
            <w:vAlign w:val="center"/>
            <w:hideMark/>
          </w:tcPr>
          <w:p w14:paraId="359C9F00"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48C8157"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inconsistencia en la base de datos micro consolidada.</w:t>
            </w:r>
          </w:p>
        </w:tc>
      </w:tr>
      <w:tr w:rsidR="00B96AC8" w:rsidRPr="00B96AC8" w14:paraId="68061ACD" w14:textId="77777777" w:rsidTr="00460317">
        <w:trPr>
          <w:trHeight w:val="283"/>
        </w:trPr>
        <w:tc>
          <w:tcPr>
            <w:tcW w:w="1921" w:type="dxa"/>
            <w:vMerge/>
            <w:shd w:val="clear" w:color="auto" w:fill="FFF2CC"/>
            <w:vAlign w:val="center"/>
            <w:hideMark/>
          </w:tcPr>
          <w:p w14:paraId="287D9ED0"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76424962"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encuestas efectivas de la muestra para publicación.</w:t>
            </w:r>
          </w:p>
        </w:tc>
      </w:tr>
      <w:tr w:rsidR="00B96AC8" w:rsidRPr="00B96AC8" w14:paraId="6CE67D43" w14:textId="77777777" w:rsidTr="00460317">
        <w:trPr>
          <w:trHeight w:val="283"/>
        </w:trPr>
        <w:tc>
          <w:tcPr>
            <w:tcW w:w="1921" w:type="dxa"/>
            <w:vMerge/>
            <w:shd w:val="clear" w:color="auto" w:fill="FFF2CC"/>
            <w:vAlign w:val="center"/>
            <w:hideMark/>
          </w:tcPr>
          <w:p w14:paraId="4D3F2162"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9F0908F"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Tasa de elegibilidad.</w:t>
            </w:r>
          </w:p>
        </w:tc>
      </w:tr>
      <w:tr w:rsidR="00B96AC8" w:rsidRPr="00B96AC8" w14:paraId="213B1AC5" w14:textId="77777777" w:rsidTr="00460317">
        <w:trPr>
          <w:trHeight w:val="283"/>
        </w:trPr>
        <w:tc>
          <w:tcPr>
            <w:tcW w:w="1921" w:type="dxa"/>
            <w:vMerge/>
            <w:shd w:val="clear" w:color="auto" w:fill="FFF2CC"/>
            <w:vAlign w:val="center"/>
            <w:hideMark/>
          </w:tcPr>
          <w:p w14:paraId="61605FD6"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4266CE"/>
            <w:noWrap/>
            <w:vAlign w:val="center"/>
            <w:hideMark/>
          </w:tcPr>
          <w:p w14:paraId="49496F2E"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Análisis</w:t>
            </w:r>
          </w:p>
        </w:tc>
      </w:tr>
      <w:tr w:rsidR="00B96AC8" w:rsidRPr="00B96AC8" w14:paraId="4AEC444B" w14:textId="77777777" w:rsidTr="00460317">
        <w:trPr>
          <w:trHeight w:val="283"/>
        </w:trPr>
        <w:tc>
          <w:tcPr>
            <w:tcW w:w="1921" w:type="dxa"/>
            <w:vMerge/>
            <w:shd w:val="clear" w:color="auto" w:fill="FFF2CC"/>
            <w:vAlign w:val="center"/>
            <w:hideMark/>
          </w:tcPr>
          <w:p w14:paraId="737EAFFC"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5E324E22"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Coeficiente de Variación*.</w:t>
            </w:r>
          </w:p>
        </w:tc>
      </w:tr>
      <w:tr w:rsidR="00B96AC8" w:rsidRPr="00B96AC8" w14:paraId="0613A204" w14:textId="77777777" w:rsidTr="00460317">
        <w:trPr>
          <w:trHeight w:val="283"/>
        </w:trPr>
        <w:tc>
          <w:tcPr>
            <w:tcW w:w="1921" w:type="dxa"/>
            <w:vMerge w:val="restart"/>
            <w:shd w:val="clear" w:color="auto" w:fill="4266CE"/>
            <w:vAlign w:val="center"/>
            <w:hideMark/>
          </w:tcPr>
          <w:p w14:paraId="6504D832" w14:textId="77777777" w:rsidR="00B96AC8" w:rsidRPr="00B96AC8" w:rsidRDefault="00B96AC8" w:rsidP="00460317">
            <w:pPr>
              <w:jc w:val="center"/>
              <w:rPr>
                <w:rFonts w:ascii="Century Gothic" w:eastAsia="Times New Roman" w:hAnsi="Century Gothic" w:cs="Calibri"/>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Accesibilidad y Claridad</w:t>
            </w:r>
          </w:p>
        </w:tc>
        <w:tc>
          <w:tcPr>
            <w:tcW w:w="7205" w:type="dxa"/>
            <w:shd w:val="clear" w:color="auto" w:fill="4266CE"/>
            <w:noWrap/>
            <w:vAlign w:val="center"/>
            <w:hideMark/>
          </w:tcPr>
          <w:p w14:paraId="05E6E609"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Difusión</w:t>
            </w:r>
          </w:p>
        </w:tc>
      </w:tr>
      <w:tr w:rsidR="00B96AC8" w:rsidRPr="00B96AC8" w14:paraId="04CBDD01" w14:textId="77777777" w:rsidTr="00460317">
        <w:trPr>
          <w:trHeight w:val="283"/>
        </w:trPr>
        <w:tc>
          <w:tcPr>
            <w:tcW w:w="1921" w:type="dxa"/>
            <w:vMerge/>
            <w:shd w:val="clear" w:color="auto" w:fill="4266CE"/>
            <w:vAlign w:val="center"/>
            <w:hideMark/>
          </w:tcPr>
          <w:p w14:paraId="3A3B3684"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0CA72F3D"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productos mínimos difundidos en la página web institucional*.</w:t>
            </w:r>
          </w:p>
        </w:tc>
      </w:tr>
      <w:tr w:rsidR="00B96AC8" w:rsidRPr="00B96AC8" w14:paraId="6D9023E1" w14:textId="77777777" w:rsidTr="00460317">
        <w:trPr>
          <w:trHeight w:val="283"/>
        </w:trPr>
        <w:tc>
          <w:tcPr>
            <w:tcW w:w="1921" w:type="dxa"/>
            <w:vMerge/>
            <w:shd w:val="clear" w:color="auto" w:fill="4266CE"/>
            <w:vAlign w:val="center"/>
            <w:hideMark/>
          </w:tcPr>
          <w:p w14:paraId="1BEA186D" w14:textId="77777777" w:rsidR="00B96AC8" w:rsidRPr="00B96AC8" w:rsidRDefault="00B96AC8" w:rsidP="00460317">
            <w:pPr>
              <w:jc w:val="center"/>
              <w:rPr>
                <w:rFonts w:ascii="Century Gothic" w:eastAsia="Times New Roman" w:hAnsi="Century Gothic" w:cs="Calibri"/>
                <w:color w:val="FFFFFF"/>
                <w:sz w:val="18"/>
                <w:szCs w:val="18"/>
                <w:lang w:eastAsia="es-EC"/>
              </w:rPr>
            </w:pPr>
          </w:p>
        </w:tc>
        <w:tc>
          <w:tcPr>
            <w:tcW w:w="7205" w:type="dxa"/>
            <w:shd w:val="clear" w:color="auto" w:fill="auto"/>
            <w:noWrap/>
            <w:vAlign w:val="center"/>
            <w:hideMark/>
          </w:tcPr>
          <w:p w14:paraId="7EB7D5C0"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Porcentaje de productos mínimos difundidos en formato abierto*.</w:t>
            </w:r>
          </w:p>
        </w:tc>
      </w:tr>
      <w:tr w:rsidR="00B96AC8" w:rsidRPr="00B96AC8" w14:paraId="78DF79B4" w14:textId="77777777" w:rsidTr="00460317">
        <w:trPr>
          <w:trHeight w:val="283"/>
        </w:trPr>
        <w:tc>
          <w:tcPr>
            <w:tcW w:w="1921" w:type="dxa"/>
            <w:vMerge w:val="restart"/>
            <w:shd w:val="clear" w:color="auto" w:fill="4266CE"/>
            <w:vAlign w:val="center"/>
            <w:hideMark/>
          </w:tcPr>
          <w:p w14:paraId="4DBD55C4" w14:textId="77777777" w:rsidR="00B96AC8" w:rsidRPr="00B96AC8" w:rsidRDefault="00B96AC8" w:rsidP="00460317">
            <w:pPr>
              <w:jc w:val="center"/>
              <w:rPr>
                <w:rFonts w:ascii="Century Gothic" w:eastAsia="Times New Roman" w:hAnsi="Century Gothic" w:cs="Calibri"/>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Coherencia y Comparabilidad</w:t>
            </w:r>
          </w:p>
        </w:tc>
        <w:tc>
          <w:tcPr>
            <w:tcW w:w="7205" w:type="dxa"/>
            <w:shd w:val="clear" w:color="auto" w:fill="4266CE"/>
            <w:noWrap/>
            <w:vAlign w:val="center"/>
            <w:hideMark/>
          </w:tcPr>
          <w:p w14:paraId="739010C0" w14:textId="77777777" w:rsidR="00B96AC8" w:rsidRPr="00B96AC8" w:rsidRDefault="00B96AC8" w:rsidP="00B96AC8">
            <w:pPr>
              <w:rPr>
                <w:rFonts w:ascii="Century Gothic" w:eastAsia="Times New Roman" w:hAnsi="Century Gothic" w:cs="Calibri"/>
                <w:b/>
                <w:bCs/>
                <w:color w:val="595959"/>
                <w:sz w:val="18"/>
                <w:szCs w:val="18"/>
                <w:lang w:eastAsia="es-EC"/>
              </w:rPr>
            </w:pPr>
            <w:r w:rsidRPr="00460317">
              <w:rPr>
                <w:rFonts w:ascii="Century Gothic" w:eastAsia="Times New Roman" w:hAnsi="Century Gothic" w:cs="Calibri"/>
                <w:b/>
                <w:bCs/>
                <w:color w:val="FFFFFF" w:themeColor="background1"/>
                <w:sz w:val="18"/>
                <w:szCs w:val="18"/>
                <w:lang w:eastAsia="es-EC"/>
              </w:rPr>
              <w:t>Análisis</w:t>
            </w:r>
          </w:p>
        </w:tc>
      </w:tr>
      <w:tr w:rsidR="00B96AC8" w:rsidRPr="00B96AC8" w14:paraId="68FB6093" w14:textId="77777777" w:rsidTr="00460317">
        <w:trPr>
          <w:trHeight w:val="283"/>
        </w:trPr>
        <w:tc>
          <w:tcPr>
            <w:tcW w:w="1921" w:type="dxa"/>
            <w:vMerge/>
            <w:shd w:val="clear" w:color="auto" w:fill="4266CE"/>
            <w:vAlign w:val="center"/>
            <w:hideMark/>
          </w:tcPr>
          <w:p w14:paraId="304CD438" w14:textId="77777777" w:rsidR="00B96AC8" w:rsidRPr="00B96AC8" w:rsidRDefault="00B96AC8" w:rsidP="00B96AC8">
            <w:pPr>
              <w:rPr>
                <w:rFonts w:ascii="Century Gothic" w:eastAsia="Times New Roman" w:hAnsi="Century Gothic" w:cs="Calibri"/>
                <w:color w:val="6E6E7C"/>
                <w:sz w:val="18"/>
                <w:szCs w:val="18"/>
                <w:lang w:eastAsia="es-EC"/>
              </w:rPr>
            </w:pPr>
          </w:p>
        </w:tc>
        <w:tc>
          <w:tcPr>
            <w:tcW w:w="7205" w:type="dxa"/>
            <w:shd w:val="clear" w:color="auto" w:fill="auto"/>
            <w:noWrap/>
            <w:vAlign w:val="center"/>
            <w:hideMark/>
          </w:tcPr>
          <w:p w14:paraId="0E763C7E" w14:textId="77777777" w:rsidR="00B96AC8" w:rsidRPr="00B96AC8" w:rsidRDefault="00B96AC8" w:rsidP="00B96AC8">
            <w:pPr>
              <w:rPr>
                <w:rFonts w:ascii="Century Gothic" w:eastAsia="Times New Roman" w:hAnsi="Century Gothic" w:cs="Calibri"/>
                <w:color w:val="6E6E7C"/>
                <w:sz w:val="18"/>
                <w:szCs w:val="18"/>
                <w:lang w:eastAsia="es-EC"/>
              </w:rPr>
            </w:pPr>
            <w:r w:rsidRPr="00B96AC8">
              <w:rPr>
                <w:rFonts w:ascii="Century Gothic" w:eastAsia="Times New Roman" w:hAnsi="Century Gothic" w:cs="Calibri"/>
                <w:color w:val="6E6E7C"/>
                <w:sz w:val="18"/>
                <w:szCs w:val="18"/>
                <w:lang w:eastAsia="es-EC"/>
              </w:rPr>
              <w:t>Número de períodos comparables*.</w:t>
            </w:r>
          </w:p>
        </w:tc>
      </w:tr>
    </w:tbl>
    <w:p w14:paraId="0EB4C717" w14:textId="77777777" w:rsidR="00B96AC8" w:rsidRPr="00B96AC8" w:rsidRDefault="00B96AC8" w:rsidP="00B96AC8">
      <w:pPr>
        <w:spacing w:line="276" w:lineRule="auto"/>
        <w:ind w:right="4"/>
        <w:rPr>
          <w:rFonts w:ascii="Century Gothic" w:eastAsia="Calibri" w:hAnsi="Century Gothic" w:cs="Calibri"/>
          <w:iCs/>
          <w:color w:val="6E6E7C"/>
          <w:sz w:val="16"/>
          <w:szCs w:val="16"/>
        </w:rPr>
      </w:pPr>
      <w:r w:rsidRPr="00B96AC8">
        <w:rPr>
          <w:rFonts w:ascii="Century Gothic" w:eastAsia="Calibri" w:hAnsi="Century Gothic" w:cs="Calibri"/>
          <w:b/>
          <w:iCs/>
          <w:color w:val="6E6E7C"/>
          <w:sz w:val="16"/>
          <w:szCs w:val="16"/>
        </w:rPr>
        <w:t xml:space="preserve">Fuente: </w:t>
      </w:r>
      <w:r w:rsidRPr="00B96AC8">
        <w:rPr>
          <w:rFonts w:ascii="Century Gothic" w:eastAsia="Calibri" w:hAnsi="Century Gothic" w:cs="Times New Roman"/>
          <w:bCs/>
          <w:iCs/>
          <w:color w:val="6E6E7C"/>
          <w:sz w:val="16"/>
          <w:szCs w:val="16"/>
        </w:rPr>
        <w:t>INEC, Encuesta Estructural Empresarial (ENESEM 2021).</w:t>
      </w:r>
    </w:p>
    <w:p w14:paraId="48466F1C" w14:textId="77777777" w:rsidR="00B96AC8" w:rsidRPr="00B96AC8" w:rsidRDefault="00B96AC8" w:rsidP="00B96AC8">
      <w:pPr>
        <w:spacing w:line="276" w:lineRule="auto"/>
        <w:ind w:right="4"/>
        <w:rPr>
          <w:rFonts w:ascii="Century Gothic" w:eastAsia="Calibri" w:hAnsi="Century Gothic" w:cs="Calibri"/>
          <w:iCs/>
          <w:color w:val="6E6E7C"/>
          <w:sz w:val="16"/>
          <w:szCs w:val="16"/>
        </w:rPr>
      </w:pPr>
      <w:r w:rsidRPr="00B96AC8">
        <w:rPr>
          <w:rFonts w:ascii="Century Gothic" w:eastAsia="Calibri" w:hAnsi="Century Gothic" w:cs="Calibri"/>
          <w:b/>
          <w:iCs/>
          <w:color w:val="6E6E7C"/>
          <w:sz w:val="16"/>
          <w:szCs w:val="16"/>
        </w:rPr>
        <w:t>Elaboración:</w:t>
      </w:r>
      <w:r w:rsidRPr="00B96AC8">
        <w:rPr>
          <w:rFonts w:ascii="Century Gothic" w:eastAsia="Calibri" w:hAnsi="Century Gothic" w:cs="Calibri"/>
          <w:iCs/>
          <w:color w:val="6E6E7C"/>
          <w:sz w:val="16"/>
          <w:szCs w:val="16"/>
        </w:rPr>
        <w:t xml:space="preserve"> Gestión de Estadísticas Estructurales (GESE).</w:t>
      </w:r>
    </w:p>
    <w:p w14:paraId="51215006" w14:textId="77777777" w:rsidR="00B96AC8" w:rsidRPr="00B96AC8" w:rsidRDefault="00B96AC8" w:rsidP="00B96AC8">
      <w:pPr>
        <w:spacing w:line="276" w:lineRule="auto"/>
        <w:jc w:val="both"/>
        <w:rPr>
          <w:rFonts w:ascii="Century Gothic" w:eastAsia="Times New Roman" w:hAnsi="Century Gothic" w:cs="Arial"/>
          <w:bCs/>
          <w:iCs/>
          <w:color w:val="6E6E7C"/>
          <w:sz w:val="20"/>
          <w:szCs w:val="16"/>
          <w:lang w:eastAsia="es-EC"/>
        </w:rPr>
      </w:pPr>
    </w:p>
    <w:p w14:paraId="0607E1A1" w14:textId="77777777" w:rsidR="00B96AC8" w:rsidRPr="00661BE1" w:rsidRDefault="00B96AC8" w:rsidP="00B96AC8">
      <w:pPr>
        <w:spacing w:after="240" w:line="276" w:lineRule="auto"/>
        <w:jc w:val="both"/>
        <w:rPr>
          <w:rFonts w:ascii="Century Gothic" w:eastAsia="Calibri" w:hAnsi="Century Gothic" w:cs="Times New Roman"/>
          <w:iCs/>
          <w:color w:val="6E6E7C"/>
          <w:sz w:val="21"/>
          <w:szCs w:val="21"/>
          <w:lang w:eastAsia="es-EC"/>
        </w:rPr>
      </w:pPr>
      <w:r w:rsidRPr="00661BE1">
        <w:rPr>
          <w:rFonts w:ascii="Century Gothic" w:eastAsia="Calibri" w:hAnsi="Century Gothic" w:cs="Times New Roman"/>
          <w:iCs/>
          <w:color w:val="6E6E7C"/>
          <w:sz w:val="21"/>
          <w:szCs w:val="21"/>
          <w:lang w:eastAsia="es-EC"/>
        </w:rPr>
        <w:t>La implementación de este proceso tiene como finalidad reflejar la calidad de la operación estadística durante la ejecución de su proceso de producción (ex ante), generando alertas tempranas para la toma de acciones oportunas y para la evaluación constante de resultados.</w:t>
      </w:r>
    </w:p>
    <w:p w14:paraId="7767A318" w14:textId="77777777" w:rsidR="00BC517C" w:rsidRPr="00582936" w:rsidRDefault="001D1ABF" w:rsidP="0094052A">
      <w:pPr>
        <w:pStyle w:val="Ttulo3"/>
        <w:numPr>
          <w:ilvl w:val="0"/>
          <w:numId w:val="1"/>
        </w:numPr>
        <w:jc w:val="both"/>
        <w:rPr>
          <w:color w:val="6E6E7C"/>
          <w:sz w:val="40"/>
        </w:rPr>
      </w:pPr>
      <w:bookmarkStart w:id="236" w:name="_Toc126657999"/>
      <w:bookmarkStart w:id="237" w:name="_Toc148617351"/>
      <w:r>
        <w:rPr>
          <w:color w:val="6E6E7C"/>
          <w:sz w:val="40"/>
        </w:rPr>
        <w:lastRenderedPageBreak/>
        <w:t xml:space="preserve"> </w:t>
      </w:r>
      <w:bookmarkStart w:id="238" w:name="_Toc161322566"/>
      <w:r w:rsidR="006A22A3" w:rsidRPr="00582936">
        <w:rPr>
          <w:color w:val="6E6E7C"/>
          <w:sz w:val="40"/>
        </w:rPr>
        <w:t>Metodología de procesamiento</w:t>
      </w:r>
      <w:bookmarkEnd w:id="236"/>
      <w:bookmarkEnd w:id="237"/>
      <w:bookmarkEnd w:id="238"/>
    </w:p>
    <w:p w14:paraId="5DE8C61B" w14:textId="77777777" w:rsidR="00015D92" w:rsidRPr="00582936" w:rsidRDefault="00015D92" w:rsidP="00015D92">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La fase de procesamiento corresponde a la depuración de datos, generación de resultados estadísticos y su preparación para el análisis y difusión. De ser necesario los procesos de esta fase pueden repetirse varias veces, hasta obtener un producto final para la fase de análisis.</w:t>
      </w:r>
    </w:p>
    <w:p w14:paraId="4604D359" w14:textId="77777777" w:rsidR="00015D92" w:rsidRPr="00582936" w:rsidRDefault="00015D92" w:rsidP="00F600B4">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En esta fase, la ENESEM ejecuta actividades de crítica, codificación y validaciones de la base de datos, y de ser el caso se utilizan métodos de imputación para garantizar precisión y coherencia de la data recopilada en campo.</w:t>
      </w:r>
    </w:p>
    <w:p w14:paraId="422CD97E" w14:textId="77777777" w:rsidR="00BC517C" w:rsidRPr="00582936" w:rsidRDefault="00BC517C" w:rsidP="0094052A">
      <w:pPr>
        <w:pStyle w:val="Prrafodelista"/>
        <w:keepNext/>
        <w:keepLines/>
        <w:numPr>
          <w:ilvl w:val="0"/>
          <w:numId w:val="1"/>
        </w:numPr>
        <w:tabs>
          <w:tab w:val="left" w:pos="567"/>
        </w:tabs>
        <w:spacing w:before="120" w:after="120"/>
        <w:contextualSpacing w:val="0"/>
        <w:outlineLvl w:val="2"/>
        <w:rPr>
          <w:rFonts w:ascii="Century Gothic" w:hAnsi="Century Gothic"/>
          <w:b/>
          <w:vanish/>
          <w:color w:val="6E6E7C"/>
          <w:sz w:val="24"/>
          <w:szCs w:val="44"/>
          <w:lang w:eastAsia="es-EC"/>
        </w:rPr>
      </w:pPr>
      <w:bookmarkStart w:id="239" w:name="_Toc131062463"/>
      <w:bookmarkStart w:id="240" w:name="_Toc131492801"/>
      <w:bookmarkStart w:id="241" w:name="_Toc148617352"/>
      <w:bookmarkStart w:id="242" w:name="_Toc155867217"/>
      <w:bookmarkStart w:id="243" w:name="_Toc156907667"/>
      <w:bookmarkStart w:id="244" w:name="_Toc156907748"/>
      <w:bookmarkStart w:id="245" w:name="_Toc156908250"/>
      <w:bookmarkStart w:id="246" w:name="_Toc157007258"/>
      <w:bookmarkStart w:id="247" w:name="_Toc157007325"/>
      <w:bookmarkStart w:id="248" w:name="_Toc157368449"/>
      <w:bookmarkStart w:id="249" w:name="_Toc157542079"/>
      <w:bookmarkStart w:id="250" w:name="_Toc157585748"/>
      <w:bookmarkStart w:id="251" w:name="_Toc157586018"/>
      <w:bookmarkStart w:id="252" w:name="_Toc157671080"/>
      <w:bookmarkStart w:id="253" w:name="_Toc157672227"/>
      <w:bookmarkStart w:id="254" w:name="_Toc158206849"/>
      <w:bookmarkStart w:id="255" w:name="_Toc161297041"/>
      <w:bookmarkStart w:id="256" w:name="_Toc161322501"/>
      <w:bookmarkStart w:id="257" w:name="_Toc161322567"/>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DA0A0A6"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258" w:name="_Toc126658000"/>
      <w:bookmarkStart w:id="259" w:name="_Toc148617353"/>
      <w:bookmarkStart w:id="260" w:name="_Toc161322568"/>
      <w:r w:rsidRPr="00D27640">
        <w:rPr>
          <w:rFonts w:eastAsiaTheme="minorHAnsi" w:cstheme="minorBidi"/>
          <w:bCs/>
          <w:color w:val="6E6E7C"/>
          <w:sz w:val="28"/>
          <w:szCs w:val="44"/>
        </w:rPr>
        <w:t>Sistemas informáticos y/o herramientas para el procesamiento</w:t>
      </w:r>
      <w:bookmarkEnd w:id="258"/>
      <w:bookmarkEnd w:id="259"/>
      <w:bookmarkEnd w:id="260"/>
    </w:p>
    <w:p w14:paraId="263FCD08" w14:textId="77777777" w:rsidR="00BC517C" w:rsidRPr="00D27640" w:rsidRDefault="00B935A0" w:rsidP="00E5524A">
      <w:pPr>
        <w:pStyle w:val="Ttulo2"/>
        <w:numPr>
          <w:ilvl w:val="2"/>
          <w:numId w:val="20"/>
        </w:numPr>
        <w:rPr>
          <w:rFonts w:eastAsiaTheme="minorHAnsi" w:cstheme="minorBidi"/>
          <w:bCs/>
          <w:color w:val="6E6E7C"/>
          <w:sz w:val="26"/>
        </w:rPr>
      </w:pPr>
      <w:bookmarkStart w:id="261" w:name="_Toc161322569"/>
      <w:r w:rsidRPr="00D27640">
        <w:rPr>
          <w:rFonts w:eastAsiaTheme="minorHAnsi" w:cstheme="minorBidi"/>
          <w:bCs/>
          <w:color w:val="6E6E7C"/>
          <w:sz w:val="26"/>
        </w:rPr>
        <w:t>Malla de Validación</w:t>
      </w:r>
      <w:bookmarkEnd w:id="261"/>
      <w:r w:rsidRPr="00D27640">
        <w:rPr>
          <w:rFonts w:eastAsiaTheme="minorHAnsi" w:cstheme="minorBidi"/>
          <w:bCs/>
          <w:color w:val="6E6E7C"/>
          <w:sz w:val="26"/>
        </w:rPr>
        <w:t xml:space="preserve"> </w:t>
      </w:r>
    </w:p>
    <w:p w14:paraId="78A985BE" w14:textId="77777777" w:rsidR="00B935A0" w:rsidRPr="00582936" w:rsidRDefault="00B935A0" w:rsidP="00B935A0">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La herramienta permite verificar la consistencia de la información recolectada en campo. El documento en formato Excel, relaciona los códigos de las variables entre capítulos y es transferido a técnicos de la </w:t>
      </w:r>
      <w:r w:rsidRPr="00582936">
        <w:rPr>
          <w:rFonts w:ascii="Century Gothic" w:eastAsia="Calibri" w:hAnsi="Century Gothic" w:cs="Calibri"/>
          <w:iCs/>
          <w:color w:val="6E6E7C"/>
          <w:sz w:val="21"/>
          <w:szCs w:val="21"/>
        </w:rPr>
        <w:t xml:space="preserve">Gestión de Innovación para Automatizar la Producción Estadística (GIAPE) </w:t>
      </w:r>
      <w:r w:rsidRPr="00582936">
        <w:rPr>
          <w:rFonts w:ascii="Century Gothic" w:eastAsia="Calibri" w:hAnsi="Century Gothic" w:cs="Times New Roman"/>
          <w:iCs/>
          <w:color w:val="6E6E7C"/>
          <w:sz w:val="21"/>
          <w:szCs w:val="21"/>
        </w:rPr>
        <w:t>para que procedan con su desarrollo en el aplicativo web. La malla de validación contiene dos tipos de controles:</w:t>
      </w:r>
    </w:p>
    <w:p w14:paraId="1A7CC210" w14:textId="77777777" w:rsidR="00B935A0" w:rsidRPr="00582936" w:rsidRDefault="00B935A0" w:rsidP="00E5524A">
      <w:pPr>
        <w:numPr>
          <w:ilvl w:val="0"/>
          <w:numId w:val="21"/>
        </w:numPr>
        <w:spacing w:after="20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 xml:space="preserve">Control de </w:t>
      </w:r>
      <w:r w:rsidR="00D27640" w:rsidRPr="00582936">
        <w:rPr>
          <w:rFonts w:ascii="Century Gothic" w:eastAsia="Calibri" w:hAnsi="Century Gothic" w:cs="Calibri"/>
          <w:b/>
          <w:iCs/>
          <w:color w:val="6E6E7C"/>
          <w:sz w:val="21"/>
          <w:szCs w:val="21"/>
        </w:rPr>
        <w:t>sumas</w:t>
      </w:r>
      <w:r w:rsidR="00D27640" w:rsidRPr="00582936">
        <w:rPr>
          <w:rFonts w:ascii="Century Gothic" w:eastAsia="Calibri" w:hAnsi="Century Gothic" w:cs="Calibri"/>
          <w:iCs/>
          <w:color w:val="6E6E7C"/>
          <w:sz w:val="21"/>
          <w:szCs w:val="21"/>
        </w:rPr>
        <w:t>. -</w:t>
      </w:r>
      <w:r w:rsidRPr="00582936">
        <w:rPr>
          <w:rFonts w:ascii="Century Gothic" w:eastAsia="Calibri" w:hAnsi="Century Gothic" w:cs="Calibri"/>
          <w:iCs/>
          <w:color w:val="6E6E7C"/>
          <w:sz w:val="21"/>
          <w:szCs w:val="21"/>
        </w:rPr>
        <w:t xml:space="preserve"> es una verificación que permite comprobar el correcto funcionamiento del aplicativo web en cuanto a la generación de totales automáticos en las tablas.</w:t>
      </w:r>
    </w:p>
    <w:p w14:paraId="3F2D92FD" w14:textId="77777777" w:rsidR="00141876" w:rsidRDefault="00B935A0" w:rsidP="00E5524A">
      <w:pPr>
        <w:numPr>
          <w:ilvl w:val="0"/>
          <w:numId w:val="21"/>
        </w:numPr>
        <w:spacing w:after="200" w:line="276" w:lineRule="auto"/>
        <w:contextualSpacing/>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 xml:space="preserve">Cruce de </w:t>
      </w:r>
      <w:r w:rsidR="00D27640" w:rsidRPr="00582936">
        <w:rPr>
          <w:rFonts w:ascii="Century Gothic" w:eastAsia="Calibri" w:hAnsi="Century Gothic" w:cs="Calibri"/>
          <w:b/>
          <w:iCs/>
          <w:color w:val="6E6E7C"/>
          <w:sz w:val="21"/>
          <w:szCs w:val="21"/>
        </w:rPr>
        <w:t>variables</w:t>
      </w:r>
      <w:r w:rsidR="00D27640" w:rsidRPr="00582936">
        <w:rPr>
          <w:rFonts w:ascii="Century Gothic" w:eastAsia="Calibri" w:hAnsi="Century Gothic" w:cs="Calibri"/>
          <w:iCs/>
          <w:color w:val="6E6E7C"/>
          <w:sz w:val="21"/>
          <w:szCs w:val="21"/>
        </w:rPr>
        <w:t>. -</w:t>
      </w:r>
      <w:r w:rsidRPr="00582936">
        <w:rPr>
          <w:rFonts w:ascii="Century Gothic" w:eastAsia="Calibri" w:hAnsi="Century Gothic" w:cs="Calibri"/>
          <w:iCs/>
          <w:color w:val="6E6E7C"/>
          <w:sz w:val="21"/>
          <w:szCs w:val="21"/>
        </w:rPr>
        <w:t xml:space="preserve"> son controles que permiten verificar la consistencia entre variables llenadas tanto en valores como en flujo de llenado.</w:t>
      </w:r>
    </w:p>
    <w:p w14:paraId="526CD012" w14:textId="77777777" w:rsidR="00141876" w:rsidRPr="00141876" w:rsidRDefault="00141876" w:rsidP="00141876">
      <w:pPr>
        <w:spacing w:after="200" w:line="276" w:lineRule="auto"/>
        <w:ind w:left="720"/>
        <w:contextualSpacing/>
        <w:jc w:val="both"/>
        <w:rPr>
          <w:rFonts w:ascii="Century Gothic" w:eastAsia="Calibri" w:hAnsi="Century Gothic" w:cs="Calibri"/>
          <w:iCs/>
          <w:color w:val="6E6E7C"/>
          <w:sz w:val="21"/>
          <w:szCs w:val="21"/>
        </w:rPr>
      </w:pPr>
    </w:p>
    <w:p w14:paraId="33772C6A" w14:textId="77777777" w:rsidR="00B935A0" w:rsidRPr="00582936" w:rsidRDefault="00B935A0" w:rsidP="00B935A0">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Además; se precisa que, entre los cambios más notables realizados dentro de la malla fue el incremento y bloqueo de validaciones que permitan la revisión de los cambios aplicados dentro del formulario de levantamiento; a fin de, detectar anomalías dentro de la información proporcionada por los informantes; así mismo, se realizó la </w:t>
      </w:r>
      <w:r w:rsidR="00BC68F4">
        <w:rPr>
          <w:rFonts w:ascii="Century Gothic" w:eastAsia="Calibri" w:hAnsi="Century Gothic" w:cs="Calibri"/>
          <w:iCs/>
          <w:color w:val="6E6E7C"/>
          <w:sz w:val="21"/>
          <w:szCs w:val="21"/>
        </w:rPr>
        <w:t>recodificación</w:t>
      </w:r>
      <w:r w:rsidRPr="00582936">
        <w:rPr>
          <w:rFonts w:ascii="Century Gothic" w:eastAsia="Calibri" w:hAnsi="Century Gothic" w:cs="Calibri"/>
          <w:iCs/>
          <w:color w:val="6E6E7C"/>
          <w:sz w:val="21"/>
          <w:szCs w:val="21"/>
        </w:rPr>
        <w:t xml:space="preserve"> de las alertas para llevar una concordancia con los demás proceso</w:t>
      </w:r>
      <w:r w:rsidR="00D27640">
        <w:rPr>
          <w:rFonts w:ascii="Century Gothic" w:eastAsia="Calibri" w:hAnsi="Century Gothic" w:cs="Calibri"/>
          <w:iCs/>
          <w:color w:val="6E6E7C"/>
          <w:sz w:val="21"/>
          <w:szCs w:val="21"/>
        </w:rPr>
        <w:t>s</w:t>
      </w:r>
      <w:r w:rsidRPr="00582936">
        <w:rPr>
          <w:rFonts w:ascii="Century Gothic" w:eastAsia="Calibri" w:hAnsi="Century Gothic" w:cs="Calibri"/>
          <w:iCs/>
          <w:color w:val="6E6E7C"/>
          <w:sz w:val="21"/>
          <w:szCs w:val="21"/>
        </w:rPr>
        <w:t xml:space="preserve"> de validación aplicados. </w:t>
      </w:r>
    </w:p>
    <w:p w14:paraId="7DEFAB3B" w14:textId="77777777" w:rsidR="00613F17" w:rsidRPr="00D27640" w:rsidRDefault="00613F17" w:rsidP="00E5524A">
      <w:pPr>
        <w:pStyle w:val="Ttulo2"/>
        <w:numPr>
          <w:ilvl w:val="2"/>
          <w:numId w:val="20"/>
        </w:numPr>
        <w:rPr>
          <w:rFonts w:eastAsiaTheme="minorHAnsi" w:cstheme="minorBidi"/>
          <w:bCs/>
          <w:color w:val="6E6E7C"/>
          <w:sz w:val="26"/>
        </w:rPr>
      </w:pPr>
      <w:bookmarkStart w:id="262" w:name="_Toc161322570"/>
      <w:r w:rsidRPr="00D27640">
        <w:rPr>
          <w:rFonts w:eastAsiaTheme="minorHAnsi" w:cstheme="minorBidi"/>
          <w:bCs/>
          <w:color w:val="6E6E7C"/>
          <w:sz w:val="26"/>
        </w:rPr>
        <w:t xml:space="preserve">Validación </w:t>
      </w:r>
      <w:proofErr w:type="spellStart"/>
      <w:r w:rsidRPr="00D27640">
        <w:rPr>
          <w:rFonts w:eastAsiaTheme="minorHAnsi" w:cstheme="minorBidi"/>
          <w:bCs/>
          <w:color w:val="6E6E7C"/>
          <w:sz w:val="26"/>
        </w:rPr>
        <w:t>RStudio</w:t>
      </w:r>
      <w:bookmarkEnd w:id="262"/>
      <w:proofErr w:type="spellEnd"/>
    </w:p>
    <w:p w14:paraId="6E88F6A2" w14:textId="77777777" w:rsidR="00F600B4" w:rsidRPr="00582936" w:rsidRDefault="00F600B4" w:rsidP="00F600B4">
      <w:pPr>
        <w:spacing w:before="200" w:line="276" w:lineRule="auto"/>
        <w:jc w:val="both"/>
        <w:rPr>
          <w:rFonts w:ascii="Century Gothic" w:eastAsia="Times New Roman" w:hAnsi="Century Gothic" w:cs="Open Sans"/>
          <w:color w:val="6E6E7C"/>
          <w:sz w:val="21"/>
          <w:szCs w:val="21"/>
          <w:shd w:val="clear" w:color="auto" w:fill="FFFFFF"/>
          <w:lang w:eastAsia="es-ES_tradnl" w:bidi="en-US"/>
        </w:rPr>
      </w:pPr>
      <w:r w:rsidRPr="00582936">
        <w:rPr>
          <w:rFonts w:ascii="Century Gothic" w:eastAsia="Times New Roman" w:hAnsi="Century Gothic" w:cs="Open Sans"/>
          <w:color w:val="6E6E7C"/>
          <w:sz w:val="21"/>
          <w:szCs w:val="21"/>
          <w:shd w:val="clear" w:color="auto" w:fill="FFFFFF"/>
          <w:lang w:eastAsia="es-ES_tradnl" w:bidi="en-US"/>
        </w:rPr>
        <w:t>El lenguaje de programación permite la automatización del proceso de validación de las bases de datos en cada periodo del levantamiento de información de la encuesta ENESEM 2022. Esto con el fin de reducir el tiempo de procesamiento y corrección de los errores de llenado que se presenta dentro de la matriz de inconsistencias. Permitiendo así, fortalecer y garantizar una mejora en el proceso de obtención de la información de la encuesta.</w:t>
      </w:r>
    </w:p>
    <w:p w14:paraId="176A9CF7" w14:textId="77777777" w:rsidR="00F600B4" w:rsidRPr="00582936" w:rsidRDefault="00F600B4" w:rsidP="0085217B">
      <w:pPr>
        <w:spacing w:before="200" w:line="276" w:lineRule="auto"/>
        <w:jc w:val="both"/>
        <w:rPr>
          <w:rFonts w:ascii="Century Gothic" w:eastAsia="Times New Roman" w:hAnsi="Century Gothic" w:cs="Open Sans"/>
          <w:color w:val="6E6E7C"/>
          <w:sz w:val="21"/>
          <w:szCs w:val="21"/>
          <w:shd w:val="clear" w:color="auto" w:fill="FFFFFF"/>
          <w:lang w:eastAsia="es-ES_tradnl" w:bidi="en-US"/>
        </w:rPr>
      </w:pPr>
      <w:r w:rsidRPr="00582936">
        <w:rPr>
          <w:rFonts w:ascii="Century Gothic" w:eastAsia="Times New Roman" w:hAnsi="Century Gothic" w:cs="Open Sans"/>
          <w:color w:val="6E6E7C"/>
          <w:sz w:val="21"/>
          <w:szCs w:val="21"/>
          <w:shd w:val="clear" w:color="auto" w:fill="FFFFFF"/>
          <w:lang w:eastAsia="es-ES_tradnl" w:bidi="en-US"/>
        </w:rPr>
        <w:t>Presentando como actividad principal, la creación de las líneas de código para la generación del reporte de inconsistencias, donde, cada fila pertenece a una inconsistencia y cada columna presenta las variables relevantes y que se deberán tomar en cuenta para la corrección de los errores presentados, tales como:</w:t>
      </w:r>
    </w:p>
    <w:p w14:paraId="701469CC" w14:textId="77777777" w:rsidR="008F7401" w:rsidRDefault="00F600B4" w:rsidP="00E5524A">
      <w:pPr>
        <w:pStyle w:val="Prrafodelista"/>
        <w:numPr>
          <w:ilvl w:val="0"/>
          <w:numId w:val="39"/>
        </w:numPr>
        <w:rPr>
          <w:rFonts w:ascii="Century Gothic" w:eastAsia="Times New Roman" w:hAnsi="Century Gothic" w:cs="Open Sans"/>
          <w:color w:val="6E6E7C"/>
          <w:sz w:val="21"/>
          <w:szCs w:val="21"/>
          <w:shd w:val="clear" w:color="auto" w:fill="FFFFFF"/>
          <w:lang w:eastAsia="es-ES_tradnl" w:bidi="en-US"/>
        </w:rPr>
      </w:pPr>
      <w:proofErr w:type="spellStart"/>
      <w:r w:rsidRPr="00B96AC8">
        <w:rPr>
          <w:rFonts w:ascii="Century Gothic" w:eastAsia="Times New Roman" w:hAnsi="Century Gothic" w:cs="Open Sans"/>
          <w:color w:val="6E6E7C"/>
          <w:sz w:val="21"/>
          <w:szCs w:val="21"/>
          <w:shd w:val="clear" w:color="auto" w:fill="FFFFFF"/>
          <w:lang w:eastAsia="es-ES_tradnl" w:bidi="en-US"/>
        </w:rPr>
        <w:t>inec_identificador_empresa</w:t>
      </w:r>
      <w:proofErr w:type="spellEnd"/>
      <w:r w:rsidRPr="00B96AC8">
        <w:rPr>
          <w:rFonts w:ascii="Century Gothic" w:eastAsia="Times New Roman" w:hAnsi="Century Gothic" w:cs="Open Sans"/>
          <w:color w:val="6E6E7C"/>
          <w:sz w:val="21"/>
          <w:szCs w:val="21"/>
          <w:shd w:val="clear" w:color="auto" w:fill="FFFFFF"/>
          <w:lang w:eastAsia="es-ES_tradnl" w:bidi="en-US"/>
        </w:rPr>
        <w:t xml:space="preserve">, </w:t>
      </w:r>
    </w:p>
    <w:p w14:paraId="5A2BAE8B" w14:textId="77777777" w:rsidR="008F7401" w:rsidRDefault="00F600B4" w:rsidP="00E5524A">
      <w:pPr>
        <w:pStyle w:val="Prrafodelista"/>
        <w:numPr>
          <w:ilvl w:val="0"/>
          <w:numId w:val="39"/>
        </w:numPr>
        <w:rPr>
          <w:rFonts w:ascii="Century Gothic" w:eastAsia="Times New Roman" w:hAnsi="Century Gothic" w:cs="Open Sans"/>
          <w:color w:val="6E6E7C"/>
          <w:sz w:val="21"/>
          <w:szCs w:val="21"/>
          <w:shd w:val="clear" w:color="auto" w:fill="FFFFFF"/>
          <w:lang w:eastAsia="es-ES_tradnl" w:bidi="en-US"/>
        </w:rPr>
      </w:pPr>
      <w:proofErr w:type="spellStart"/>
      <w:r w:rsidRPr="00B96AC8">
        <w:rPr>
          <w:rFonts w:ascii="Century Gothic" w:eastAsia="Times New Roman" w:hAnsi="Century Gothic" w:cs="Open Sans"/>
          <w:color w:val="6E6E7C"/>
          <w:sz w:val="21"/>
          <w:szCs w:val="21"/>
          <w:shd w:val="clear" w:color="auto" w:fill="FFFFFF"/>
          <w:lang w:eastAsia="es-ES_tradnl" w:bidi="en-US"/>
        </w:rPr>
        <w:lastRenderedPageBreak/>
        <w:t>inec_zonal</w:t>
      </w:r>
      <w:proofErr w:type="spellEnd"/>
      <w:r w:rsidRPr="00B96AC8">
        <w:rPr>
          <w:rFonts w:ascii="Century Gothic" w:eastAsia="Times New Roman" w:hAnsi="Century Gothic" w:cs="Open Sans"/>
          <w:color w:val="6E6E7C"/>
          <w:sz w:val="21"/>
          <w:szCs w:val="21"/>
          <w:shd w:val="clear" w:color="auto" w:fill="FFFFFF"/>
          <w:lang w:eastAsia="es-ES_tradnl" w:bidi="en-US"/>
        </w:rPr>
        <w:t xml:space="preserve">, </w:t>
      </w:r>
    </w:p>
    <w:p w14:paraId="58D3F904" w14:textId="77777777" w:rsidR="008F7401" w:rsidRDefault="00F600B4" w:rsidP="00E5524A">
      <w:pPr>
        <w:pStyle w:val="Prrafodelista"/>
        <w:numPr>
          <w:ilvl w:val="0"/>
          <w:numId w:val="39"/>
        </w:numPr>
        <w:rPr>
          <w:rFonts w:ascii="Century Gothic" w:eastAsia="Times New Roman" w:hAnsi="Century Gothic" w:cs="Open Sans"/>
          <w:color w:val="6E6E7C"/>
          <w:sz w:val="21"/>
          <w:szCs w:val="21"/>
          <w:shd w:val="clear" w:color="auto" w:fill="FFFFFF"/>
          <w:lang w:eastAsia="es-ES_tradnl" w:bidi="en-US"/>
        </w:rPr>
      </w:pPr>
      <w:r w:rsidRPr="00B96AC8">
        <w:rPr>
          <w:rFonts w:ascii="Century Gothic" w:eastAsia="Times New Roman" w:hAnsi="Century Gothic" w:cs="Open Sans"/>
          <w:color w:val="6E6E7C"/>
          <w:sz w:val="21"/>
          <w:szCs w:val="21"/>
          <w:shd w:val="clear" w:color="auto" w:fill="FFFFFF"/>
          <w:lang w:eastAsia="es-ES_tradnl" w:bidi="en-US"/>
        </w:rPr>
        <w:t xml:space="preserve">ruc, </w:t>
      </w:r>
    </w:p>
    <w:p w14:paraId="5704E538" w14:textId="77777777" w:rsidR="008F7401" w:rsidRDefault="00F600B4" w:rsidP="00E5524A">
      <w:pPr>
        <w:pStyle w:val="Prrafodelista"/>
        <w:numPr>
          <w:ilvl w:val="0"/>
          <w:numId w:val="39"/>
        </w:numPr>
        <w:rPr>
          <w:rFonts w:ascii="Century Gothic" w:eastAsia="Times New Roman" w:hAnsi="Century Gothic" w:cs="Open Sans"/>
          <w:color w:val="6E6E7C"/>
          <w:sz w:val="21"/>
          <w:szCs w:val="21"/>
          <w:shd w:val="clear" w:color="auto" w:fill="FFFFFF"/>
          <w:lang w:eastAsia="es-ES_tradnl" w:bidi="en-US"/>
        </w:rPr>
      </w:pPr>
      <w:proofErr w:type="spellStart"/>
      <w:r w:rsidRPr="00B96AC8">
        <w:rPr>
          <w:rFonts w:ascii="Century Gothic" w:eastAsia="Times New Roman" w:hAnsi="Century Gothic" w:cs="Open Sans"/>
          <w:color w:val="6E6E7C"/>
          <w:sz w:val="21"/>
          <w:szCs w:val="21"/>
          <w:shd w:val="clear" w:color="auto" w:fill="FFFFFF"/>
          <w:lang w:eastAsia="es-ES_tradnl" w:bidi="en-US"/>
        </w:rPr>
        <w:t>nombre_comercial</w:t>
      </w:r>
      <w:proofErr w:type="spellEnd"/>
      <w:r w:rsidRPr="00B96AC8">
        <w:rPr>
          <w:rFonts w:ascii="Century Gothic" w:eastAsia="Times New Roman" w:hAnsi="Century Gothic" w:cs="Open Sans"/>
          <w:color w:val="6E6E7C"/>
          <w:sz w:val="21"/>
          <w:szCs w:val="21"/>
          <w:shd w:val="clear" w:color="auto" w:fill="FFFFFF"/>
          <w:lang w:eastAsia="es-ES_tradnl" w:bidi="en-US"/>
        </w:rPr>
        <w:t xml:space="preserve">, </w:t>
      </w:r>
    </w:p>
    <w:p w14:paraId="71DA7C38" w14:textId="77777777" w:rsidR="008F7401" w:rsidRDefault="00F600B4" w:rsidP="00E5524A">
      <w:pPr>
        <w:pStyle w:val="Prrafodelista"/>
        <w:numPr>
          <w:ilvl w:val="0"/>
          <w:numId w:val="39"/>
        </w:numPr>
        <w:rPr>
          <w:rFonts w:ascii="Century Gothic" w:eastAsia="Times New Roman" w:hAnsi="Century Gothic" w:cs="Open Sans"/>
          <w:color w:val="6E6E7C"/>
          <w:sz w:val="21"/>
          <w:szCs w:val="21"/>
          <w:shd w:val="clear" w:color="auto" w:fill="FFFFFF"/>
          <w:lang w:eastAsia="es-ES_tradnl" w:bidi="en-US"/>
        </w:rPr>
      </w:pPr>
      <w:proofErr w:type="spellStart"/>
      <w:r w:rsidRPr="00B96AC8">
        <w:rPr>
          <w:rFonts w:ascii="Century Gothic" w:eastAsia="Times New Roman" w:hAnsi="Century Gothic" w:cs="Open Sans"/>
          <w:color w:val="6E6E7C"/>
          <w:sz w:val="21"/>
          <w:szCs w:val="21"/>
          <w:shd w:val="clear" w:color="auto" w:fill="FFFFFF"/>
          <w:lang w:eastAsia="es-ES_tradnl" w:bidi="en-US"/>
        </w:rPr>
        <w:t>razon_social</w:t>
      </w:r>
      <w:proofErr w:type="spellEnd"/>
      <w:r w:rsidRPr="00B96AC8">
        <w:rPr>
          <w:rFonts w:ascii="Century Gothic" w:eastAsia="Times New Roman" w:hAnsi="Century Gothic" w:cs="Open Sans"/>
          <w:color w:val="6E6E7C"/>
          <w:sz w:val="21"/>
          <w:szCs w:val="21"/>
          <w:shd w:val="clear" w:color="auto" w:fill="FFFFFF"/>
          <w:lang w:eastAsia="es-ES_tradnl" w:bidi="en-US"/>
        </w:rPr>
        <w:t xml:space="preserve">, </w:t>
      </w:r>
    </w:p>
    <w:p w14:paraId="65DC593E" w14:textId="77777777" w:rsidR="008F7401" w:rsidRDefault="00F600B4" w:rsidP="00E5524A">
      <w:pPr>
        <w:pStyle w:val="Prrafodelista"/>
        <w:numPr>
          <w:ilvl w:val="0"/>
          <w:numId w:val="39"/>
        </w:numPr>
        <w:rPr>
          <w:rFonts w:ascii="Century Gothic" w:eastAsia="Times New Roman" w:hAnsi="Century Gothic" w:cs="Open Sans"/>
          <w:color w:val="6E6E7C"/>
          <w:sz w:val="21"/>
          <w:szCs w:val="21"/>
          <w:shd w:val="clear" w:color="auto" w:fill="FFFFFF"/>
          <w:lang w:eastAsia="es-ES_tradnl" w:bidi="en-US"/>
        </w:rPr>
      </w:pPr>
      <w:r w:rsidRPr="00B96AC8">
        <w:rPr>
          <w:rFonts w:ascii="Century Gothic" w:eastAsia="Times New Roman" w:hAnsi="Century Gothic" w:cs="Open Sans"/>
          <w:color w:val="6E6E7C"/>
          <w:sz w:val="21"/>
          <w:szCs w:val="21"/>
          <w:shd w:val="clear" w:color="auto" w:fill="FFFFFF"/>
          <w:lang w:eastAsia="es-ES_tradnl" w:bidi="en-US"/>
        </w:rPr>
        <w:t xml:space="preserve">mensaje de </w:t>
      </w:r>
      <w:r w:rsidR="002716C5" w:rsidRPr="00B96AC8">
        <w:rPr>
          <w:rFonts w:ascii="Century Gothic" w:eastAsia="Times New Roman" w:hAnsi="Century Gothic" w:cs="Open Sans"/>
          <w:color w:val="6E6E7C"/>
          <w:sz w:val="21"/>
          <w:szCs w:val="21"/>
          <w:shd w:val="clear" w:color="auto" w:fill="FFFFFF"/>
          <w:lang w:eastAsia="es-ES_tradnl" w:bidi="en-US"/>
        </w:rPr>
        <w:t>inconsistencia</w:t>
      </w:r>
      <w:r w:rsidRPr="00B96AC8">
        <w:rPr>
          <w:rFonts w:ascii="Century Gothic" w:eastAsia="Times New Roman" w:hAnsi="Century Gothic" w:cs="Open Sans"/>
          <w:color w:val="6E6E7C"/>
          <w:sz w:val="21"/>
          <w:szCs w:val="21"/>
          <w:shd w:val="clear" w:color="auto" w:fill="FFFFFF"/>
          <w:lang w:eastAsia="es-ES_tradnl" w:bidi="en-US"/>
        </w:rPr>
        <w:t xml:space="preserve">, </w:t>
      </w:r>
    </w:p>
    <w:p w14:paraId="515884C0" w14:textId="77777777" w:rsidR="00613F17" w:rsidRPr="00B96AC8" w:rsidRDefault="00F600B4" w:rsidP="00E5524A">
      <w:pPr>
        <w:pStyle w:val="Prrafodelista"/>
        <w:numPr>
          <w:ilvl w:val="0"/>
          <w:numId w:val="39"/>
        </w:numPr>
        <w:rPr>
          <w:rFonts w:ascii="Century Gothic" w:eastAsia="Times New Roman" w:hAnsi="Century Gothic" w:cs="Open Sans"/>
          <w:color w:val="6E6E7C"/>
          <w:sz w:val="21"/>
          <w:szCs w:val="21"/>
          <w:shd w:val="clear" w:color="auto" w:fill="FFFFFF"/>
          <w:lang w:eastAsia="es-ES_tradnl" w:bidi="en-US"/>
        </w:rPr>
      </w:pPr>
      <w:r w:rsidRPr="00B96AC8">
        <w:rPr>
          <w:rFonts w:ascii="Century Gothic" w:eastAsia="Times New Roman" w:hAnsi="Century Gothic" w:cs="Open Sans"/>
          <w:color w:val="6E6E7C"/>
          <w:sz w:val="21"/>
          <w:szCs w:val="21"/>
          <w:shd w:val="clear" w:color="auto" w:fill="FFFFFF"/>
          <w:lang w:eastAsia="es-ES_tradnl" w:bidi="en-US"/>
        </w:rPr>
        <w:t>observacio</w:t>
      </w:r>
      <w:r w:rsidR="002716C5" w:rsidRPr="00B96AC8">
        <w:rPr>
          <w:rFonts w:ascii="Century Gothic" w:eastAsia="Times New Roman" w:hAnsi="Century Gothic" w:cs="Open Sans"/>
          <w:color w:val="6E6E7C"/>
          <w:sz w:val="21"/>
          <w:szCs w:val="21"/>
          <w:shd w:val="clear" w:color="auto" w:fill="FFFFFF"/>
          <w:lang w:eastAsia="es-ES_tradnl" w:bidi="en-US"/>
        </w:rPr>
        <w:t>n</w:t>
      </w:r>
      <w:r w:rsidRPr="00B96AC8">
        <w:rPr>
          <w:rFonts w:ascii="Century Gothic" w:eastAsia="Times New Roman" w:hAnsi="Century Gothic" w:cs="Open Sans"/>
          <w:color w:val="6E6E7C"/>
          <w:sz w:val="21"/>
          <w:szCs w:val="21"/>
          <w:shd w:val="clear" w:color="auto" w:fill="FFFFFF"/>
          <w:lang w:eastAsia="es-ES_tradnl" w:bidi="en-US"/>
        </w:rPr>
        <w:t>es</w:t>
      </w:r>
      <w:r w:rsidR="002716C5" w:rsidRPr="00B96AC8">
        <w:rPr>
          <w:rFonts w:ascii="Century Gothic" w:eastAsia="Times New Roman" w:hAnsi="Century Gothic" w:cs="Open Sans"/>
          <w:color w:val="6E6E7C"/>
          <w:sz w:val="21"/>
          <w:szCs w:val="21"/>
          <w:shd w:val="clear" w:color="auto" w:fill="FFFFFF"/>
          <w:lang w:eastAsia="es-ES_tradnl" w:bidi="en-US"/>
        </w:rPr>
        <w:t>.</w:t>
      </w:r>
    </w:p>
    <w:p w14:paraId="4BE9A2CD" w14:textId="77777777" w:rsidR="00274B6C" w:rsidRPr="002022CC" w:rsidRDefault="00274B6C" w:rsidP="0085217B">
      <w:pPr>
        <w:jc w:val="both"/>
        <w:rPr>
          <w:rFonts w:ascii="Century Gothic" w:hAnsi="Century Gothic"/>
          <w:color w:val="6E6E7C"/>
          <w:sz w:val="4"/>
        </w:rPr>
      </w:pPr>
    </w:p>
    <w:p w14:paraId="5D175F46"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263" w:name="_Toc126658001"/>
      <w:bookmarkStart w:id="264" w:name="_Toc148617354"/>
      <w:bookmarkStart w:id="265" w:name="_Toc161322571"/>
      <w:r w:rsidRPr="00D27640">
        <w:rPr>
          <w:rFonts w:eastAsiaTheme="minorHAnsi" w:cstheme="minorBidi"/>
          <w:bCs/>
          <w:color w:val="6E6E7C"/>
          <w:sz w:val="28"/>
          <w:szCs w:val="44"/>
        </w:rPr>
        <w:t>Crítica y digitación de datos</w:t>
      </w:r>
      <w:bookmarkEnd w:id="263"/>
      <w:bookmarkEnd w:id="264"/>
      <w:bookmarkEnd w:id="265"/>
    </w:p>
    <w:p w14:paraId="64AEE13C" w14:textId="77777777" w:rsidR="00F600B4" w:rsidRPr="00582936" w:rsidRDefault="00F600B4" w:rsidP="00F600B4">
      <w:pPr>
        <w:spacing w:before="240"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Calibri" w:hAnsi="Century Gothic" w:cs="Times New Roman"/>
          <w:iCs/>
          <w:color w:val="6E6E7C"/>
          <w:sz w:val="21"/>
          <w:szCs w:val="21"/>
        </w:rPr>
        <w:t xml:space="preserve">En este proceso se revisa y ordena la información recolectada; para ello, </w:t>
      </w:r>
      <w:r w:rsidRPr="00582936">
        <w:rPr>
          <w:rFonts w:ascii="Century Gothic" w:eastAsia="Times New Roman" w:hAnsi="Century Gothic" w:cs="Arial"/>
          <w:bCs/>
          <w:iCs/>
          <w:color w:val="6E6E7C"/>
          <w:sz w:val="21"/>
          <w:szCs w:val="21"/>
          <w:lang w:eastAsia="es-EC"/>
        </w:rPr>
        <w:t>la ENESEM realiza la fase de pre-critica en el sistema INFOCAPT, en el que se genera mensajes de alerta cuando existen posibles errores en el registro de la información. En estos casos, el encuestador debe realizar las correcciones o detallar las observaciones pertinentes que justifiquen la alerta. Posterior a esto, se inicia el proceso de crítica-codificación, donde se revisa la calidad de la información levantada, se detallan las observaciones registradas y se hace una validación de la consistencia de la información, de manera inmediata se realiza la fase de revisión, ejecutad</w:t>
      </w:r>
      <w:r w:rsidR="001D1ABF">
        <w:rPr>
          <w:rFonts w:ascii="Century Gothic" w:eastAsia="Times New Roman" w:hAnsi="Century Gothic" w:cs="Arial"/>
          <w:bCs/>
          <w:iCs/>
          <w:color w:val="6E6E7C"/>
          <w:sz w:val="21"/>
          <w:szCs w:val="21"/>
          <w:lang w:eastAsia="es-EC"/>
        </w:rPr>
        <w:t>a</w:t>
      </w:r>
      <w:r w:rsidRPr="00582936">
        <w:rPr>
          <w:rFonts w:ascii="Century Gothic" w:eastAsia="Times New Roman" w:hAnsi="Century Gothic" w:cs="Arial"/>
          <w:bCs/>
          <w:iCs/>
          <w:color w:val="6E6E7C"/>
          <w:sz w:val="21"/>
          <w:szCs w:val="21"/>
          <w:lang w:eastAsia="es-EC"/>
        </w:rPr>
        <w:t xml:space="preserve"> por los revisores de calidad, a fin de verificar los flujo</w:t>
      </w:r>
      <w:r w:rsidR="0036691F">
        <w:rPr>
          <w:rFonts w:ascii="Century Gothic" w:eastAsia="Times New Roman" w:hAnsi="Century Gothic" w:cs="Arial"/>
          <w:bCs/>
          <w:iCs/>
          <w:color w:val="6E6E7C"/>
          <w:sz w:val="21"/>
          <w:szCs w:val="21"/>
          <w:lang w:eastAsia="es-EC"/>
        </w:rPr>
        <w:t xml:space="preserve">s de la encuesta, consistencia y </w:t>
      </w:r>
      <w:r w:rsidRPr="00582936">
        <w:rPr>
          <w:rFonts w:ascii="Century Gothic" w:eastAsia="Times New Roman" w:hAnsi="Century Gothic" w:cs="Arial"/>
          <w:bCs/>
          <w:iCs/>
          <w:color w:val="6E6E7C"/>
          <w:sz w:val="21"/>
          <w:szCs w:val="21"/>
          <w:lang w:eastAsia="es-EC"/>
        </w:rPr>
        <w:t xml:space="preserve">cruce de variables; apoyados en los manuales, se busca disminuir los errores y dar </w:t>
      </w:r>
      <w:r w:rsidRPr="00582936">
        <w:rPr>
          <w:rFonts w:ascii="Century Gothic" w:eastAsia="Calibri" w:hAnsi="Century Gothic" w:cs="Times New Roman"/>
          <w:iCs/>
          <w:color w:val="6E6E7C"/>
          <w:sz w:val="21"/>
          <w:szCs w:val="21"/>
        </w:rPr>
        <w:t xml:space="preserve">soluciones oportunas que garanticen la calidad de la información. </w:t>
      </w:r>
    </w:p>
    <w:p w14:paraId="2403AEB7" w14:textId="77777777" w:rsidR="00F600B4" w:rsidRPr="00582936" w:rsidRDefault="00F600B4" w:rsidP="00F600B4">
      <w:pPr>
        <w:spacing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En caso de detectar inconsistencias en los datos, en la fase de crítica se toma contacto con los informantes, según sea el caso (información económica, ambiental, TIC, etc.) para solventar la observación. </w:t>
      </w:r>
      <w:r w:rsidR="001D1ABF">
        <w:rPr>
          <w:rFonts w:ascii="Century Gothic" w:eastAsia="Times New Roman" w:hAnsi="Century Gothic" w:cs="Arial"/>
          <w:bCs/>
          <w:iCs/>
          <w:color w:val="6E6E7C"/>
          <w:sz w:val="21"/>
          <w:szCs w:val="21"/>
          <w:lang w:eastAsia="es-EC"/>
        </w:rPr>
        <w:t>U</w:t>
      </w:r>
      <w:r w:rsidRPr="00582936">
        <w:rPr>
          <w:rFonts w:ascii="Century Gothic" w:eastAsia="Times New Roman" w:hAnsi="Century Gothic" w:cs="Arial"/>
          <w:bCs/>
          <w:iCs/>
          <w:color w:val="6E6E7C"/>
          <w:sz w:val="21"/>
          <w:szCs w:val="21"/>
          <w:lang w:eastAsia="es-EC"/>
        </w:rPr>
        <w:t>na vez culminada la fase de crítica y revisión, la Dirección de Registros Administrativos (DIRAD) integra las bases de datos primarias en una sola, para luego transferirla a la Unidad de Gestión de Estadísticas Estructurales (GESE).</w:t>
      </w:r>
    </w:p>
    <w:p w14:paraId="3C5255E2" w14:textId="77777777" w:rsidR="00F600B4" w:rsidRPr="00582936" w:rsidRDefault="00F600B4" w:rsidP="00F600B4">
      <w:pPr>
        <w:spacing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A continuación, se describen las actividades realizadas para la generación y revisión de las bases de datos integrada:</w:t>
      </w:r>
    </w:p>
    <w:p w14:paraId="3DB589CE" w14:textId="77777777" w:rsidR="00F600B4" w:rsidRPr="00582936" w:rsidRDefault="00F600B4" w:rsidP="00E5524A">
      <w:pPr>
        <w:numPr>
          <w:ilvl w:val="0"/>
          <w:numId w:val="22"/>
        </w:numPr>
        <w:spacing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La Dirección de Estadísticas Económicas (DECON) cuenta con un módulo de descarga de bases de datos dentro del aplicativo INFOCAPT; permitiendo la descarga de bases parciales de manera inmediata; a fin de, realizar validaciones preliminares de información.</w:t>
      </w:r>
    </w:p>
    <w:p w14:paraId="78748158" w14:textId="77777777" w:rsidR="00F600B4" w:rsidRPr="00582936" w:rsidRDefault="00F600B4" w:rsidP="00E5524A">
      <w:pPr>
        <w:numPr>
          <w:ilvl w:val="0"/>
          <w:numId w:val="22"/>
        </w:numPr>
        <w:spacing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Una vez finalizado el proceso de levantamiento de información en campo, digitación, crítica y codificación, la DECON solicita a la DIRAD la base de datos final.</w:t>
      </w:r>
    </w:p>
    <w:p w14:paraId="2893012F" w14:textId="77777777" w:rsidR="00F600B4" w:rsidRPr="00582936" w:rsidRDefault="00F600B4" w:rsidP="00E5524A">
      <w:pPr>
        <w:numPr>
          <w:ilvl w:val="0"/>
          <w:numId w:val="22"/>
        </w:numPr>
        <w:spacing w:after="200" w:line="276" w:lineRule="auto"/>
        <w:ind w:left="714" w:hanging="357"/>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Se verifica que consten todas las variables y casos de estudio, en caso de encontrar inconsistencias se reporta a DIRAD las novedades y se solicita nuevamente la base de datos para posterior proceso de validación.</w:t>
      </w:r>
    </w:p>
    <w:p w14:paraId="2AA1376D" w14:textId="77777777" w:rsidR="00F600B4" w:rsidRDefault="00F600B4" w:rsidP="00E5524A">
      <w:pPr>
        <w:numPr>
          <w:ilvl w:val="0"/>
          <w:numId w:val="22"/>
        </w:numPr>
        <w:spacing w:after="200" w:line="276" w:lineRule="auto"/>
        <w:ind w:left="714" w:hanging="357"/>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Con la base de datos final remitida por la DIRAD, la DECON se encarga de realizar la validación, etiquetado y depuración de las variables, cálculo de variables derivadas y análisis para la posterior publicación de los resultados. </w:t>
      </w:r>
    </w:p>
    <w:p w14:paraId="05D811CA"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266" w:name="_Toc126658002"/>
      <w:bookmarkStart w:id="267" w:name="_Toc148617355"/>
      <w:bookmarkStart w:id="268" w:name="_Toc161322572"/>
      <w:r w:rsidRPr="00D27640">
        <w:rPr>
          <w:rFonts w:eastAsiaTheme="minorHAnsi" w:cstheme="minorBidi"/>
          <w:bCs/>
          <w:color w:val="6E6E7C"/>
          <w:sz w:val="28"/>
          <w:szCs w:val="44"/>
        </w:rPr>
        <w:lastRenderedPageBreak/>
        <w:t>Compilación, revisión, sincronización o extracción</w:t>
      </w:r>
      <w:bookmarkEnd w:id="266"/>
      <w:r w:rsidRPr="00D27640">
        <w:rPr>
          <w:rFonts w:eastAsiaTheme="minorHAnsi" w:cstheme="minorBidi"/>
          <w:bCs/>
          <w:color w:val="6E6E7C"/>
          <w:sz w:val="28"/>
          <w:szCs w:val="44"/>
        </w:rPr>
        <w:t>, e integración</w:t>
      </w:r>
      <w:bookmarkEnd w:id="267"/>
      <w:bookmarkEnd w:id="268"/>
    </w:p>
    <w:p w14:paraId="4D2F26E8" w14:textId="77777777" w:rsidR="00E32AF7" w:rsidRPr="00582936" w:rsidRDefault="00E32AF7" w:rsidP="00E32AF7">
      <w:pPr>
        <w:rPr>
          <w:rFonts w:ascii="Century Gothic" w:eastAsia="Times New Roman" w:hAnsi="Century Gothic" w:cs="Open Sans"/>
          <w:b/>
          <w:color w:val="6E6E7C"/>
          <w:szCs w:val="21"/>
          <w:lang w:eastAsia="es-ES_tradnl"/>
        </w:rPr>
      </w:pPr>
      <w:r w:rsidRPr="00582936">
        <w:rPr>
          <w:rFonts w:ascii="Century Gothic" w:eastAsia="Times New Roman" w:hAnsi="Century Gothic" w:cs="Open Sans"/>
          <w:b/>
          <w:color w:val="6E6E7C"/>
          <w:szCs w:val="21"/>
          <w:lang w:eastAsia="es-ES_tradnl"/>
        </w:rPr>
        <w:t>Revisión de la base de datos</w:t>
      </w:r>
    </w:p>
    <w:p w14:paraId="24F478C9" w14:textId="77777777" w:rsidR="0085217B" w:rsidRPr="0085217B" w:rsidRDefault="0085217B" w:rsidP="00D12FFC">
      <w:pPr>
        <w:spacing w:after="240" w:line="276" w:lineRule="auto"/>
        <w:jc w:val="both"/>
        <w:rPr>
          <w:rFonts w:ascii="Century Gothic" w:eastAsia="Times New Roman" w:hAnsi="Century Gothic" w:cs="Open Sans"/>
          <w:color w:val="6E6E7C"/>
          <w:sz w:val="2"/>
          <w:szCs w:val="21"/>
          <w:lang w:eastAsia="es-ES_tradnl"/>
        </w:rPr>
      </w:pPr>
    </w:p>
    <w:p w14:paraId="51CA7D14" w14:textId="77777777" w:rsidR="0085733F" w:rsidRPr="00582936" w:rsidRDefault="0085733F" w:rsidP="00D12FFC">
      <w:pPr>
        <w:spacing w:after="240" w:line="276" w:lineRule="auto"/>
        <w:jc w:val="both"/>
        <w:rPr>
          <w:rFonts w:ascii="Century Gothic" w:eastAsia="Times New Roman" w:hAnsi="Century Gothic" w:cs="Open Sans"/>
          <w:color w:val="6E6E7C"/>
          <w:sz w:val="21"/>
          <w:szCs w:val="21"/>
          <w:lang w:eastAsia="es-ES_tradnl"/>
        </w:rPr>
      </w:pPr>
      <w:r w:rsidRPr="00582936">
        <w:rPr>
          <w:rFonts w:ascii="Century Gothic" w:eastAsia="Times New Roman" w:hAnsi="Century Gothic" w:cs="Open Sans"/>
          <w:color w:val="6E6E7C"/>
          <w:sz w:val="21"/>
          <w:szCs w:val="21"/>
          <w:lang w:eastAsia="es-ES_tradnl"/>
        </w:rPr>
        <w:t>El proceso de revisión de la base de datos realizado por la ENESEM parte de una verificación de la presencia de la totalidad tanto de variables como de observaciones; es</w:t>
      </w:r>
      <w:r w:rsidR="001D1ABF">
        <w:rPr>
          <w:rFonts w:ascii="Century Gothic" w:eastAsia="Times New Roman" w:hAnsi="Century Gothic" w:cs="Open Sans"/>
          <w:color w:val="6E6E7C"/>
          <w:sz w:val="21"/>
          <w:szCs w:val="21"/>
          <w:lang w:eastAsia="es-ES_tradnl"/>
        </w:rPr>
        <w:t xml:space="preserve"> decir</w:t>
      </w:r>
      <w:r w:rsidRPr="00582936">
        <w:rPr>
          <w:rFonts w:ascii="Century Gothic" w:eastAsia="Times New Roman" w:hAnsi="Century Gothic" w:cs="Open Sans"/>
          <w:color w:val="6E6E7C"/>
          <w:sz w:val="21"/>
          <w:szCs w:val="21"/>
          <w:lang w:eastAsia="es-ES_tradnl"/>
        </w:rPr>
        <w:t xml:space="preserve">, se realiza una validación de los nombres de las variables donde; a partir de una sintaxis generada dentro del software estadístico R, </w:t>
      </w:r>
      <w:r w:rsidR="0036691F">
        <w:rPr>
          <w:rFonts w:ascii="Century Gothic" w:eastAsia="Times New Roman" w:hAnsi="Century Gothic" w:cs="Open Sans"/>
          <w:color w:val="6E6E7C"/>
          <w:sz w:val="21"/>
          <w:szCs w:val="21"/>
          <w:lang w:eastAsia="es-ES_tradnl"/>
        </w:rPr>
        <w:t>se ratifica la presencia de las</w:t>
      </w:r>
      <w:r w:rsidRPr="00582936">
        <w:rPr>
          <w:rFonts w:ascii="Century Gothic" w:eastAsia="Times New Roman" w:hAnsi="Century Gothic" w:cs="Open Sans"/>
          <w:color w:val="6E6E7C"/>
          <w:sz w:val="21"/>
          <w:szCs w:val="21"/>
          <w:lang w:eastAsia="es-ES_tradnl"/>
        </w:rPr>
        <w:t xml:space="preserve"> 2</w:t>
      </w:r>
      <w:r w:rsidR="00E70BD8">
        <w:rPr>
          <w:rFonts w:ascii="Century Gothic" w:eastAsia="Times New Roman" w:hAnsi="Century Gothic" w:cs="Open Sans"/>
          <w:color w:val="6E6E7C"/>
          <w:sz w:val="21"/>
          <w:szCs w:val="21"/>
          <w:lang w:eastAsia="es-ES_tradnl"/>
        </w:rPr>
        <w:t>.</w:t>
      </w:r>
      <w:r w:rsidRPr="00582936">
        <w:rPr>
          <w:rFonts w:ascii="Century Gothic" w:eastAsia="Times New Roman" w:hAnsi="Century Gothic" w:cs="Open Sans"/>
          <w:color w:val="6E6E7C"/>
          <w:sz w:val="21"/>
          <w:szCs w:val="21"/>
          <w:lang w:eastAsia="es-ES_tradnl"/>
        </w:rPr>
        <w:t xml:space="preserve">452 variables que forman parte del formulario de recolección; así mismo, una vez finaliza el operativo de campo </w:t>
      </w:r>
      <w:r w:rsidR="00E32AF7" w:rsidRPr="00582936">
        <w:rPr>
          <w:rFonts w:ascii="Century Gothic" w:eastAsia="Times New Roman" w:hAnsi="Century Gothic" w:cs="Open Sans"/>
          <w:color w:val="6E6E7C"/>
          <w:sz w:val="21"/>
          <w:szCs w:val="21"/>
          <w:lang w:eastAsia="es-ES_tradnl"/>
        </w:rPr>
        <w:t>se comprueba que todas las empresas que formaron parte de la muestra (4.307</w:t>
      </w:r>
      <w:r w:rsidR="00E70BD8">
        <w:rPr>
          <w:rFonts w:ascii="Century Gothic" w:eastAsia="Times New Roman" w:hAnsi="Century Gothic" w:cs="Open Sans"/>
          <w:color w:val="6E6E7C"/>
          <w:sz w:val="21"/>
          <w:szCs w:val="21"/>
          <w:lang w:eastAsia="es-ES_tradnl"/>
        </w:rPr>
        <w:t xml:space="preserve"> empresas</w:t>
      </w:r>
      <w:r w:rsidR="00E32AF7" w:rsidRPr="00582936">
        <w:rPr>
          <w:rFonts w:ascii="Century Gothic" w:eastAsia="Times New Roman" w:hAnsi="Century Gothic" w:cs="Open Sans"/>
          <w:color w:val="6E6E7C"/>
          <w:sz w:val="21"/>
          <w:szCs w:val="21"/>
          <w:lang w:eastAsia="es-ES_tradnl"/>
        </w:rPr>
        <w:t xml:space="preserve">) se encuentren dentro de  la base de datos remitida por la Dirección de Registros Administrativos (DIRAD) durante los cortes de base realizados a lo largo de la etapa de procesamiento y análisis. </w:t>
      </w:r>
    </w:p>
    <w:p w14:paraId="602D3BBC" w14:textId="77777777" w:rsidR="00E32AF7" w:rsidRPr="00582936" w:rsidRDefault="00E32AF7" w:rsidP="00D12FFC">
      <w:pPr>
        <w:spacing w:after="240" w:line="276" w:lineRule="auto"/>
        <w:jc w:val="both"/>
        <w:rPr>
          <w:rFonts w:ascii="Century Gothic" w:eastAsia="Times New Roman" w:hAnsi="Century Gothic" w:cs="Open Sans"/>
          <w:color w:val="6E6E7C"/>
          <w:sz w:val="21"/>
          <w:szCs w:val="21"/>
          <w:lang w:eastAsia="es-ES_tradnl"/>
        </w:rPr>
      </w:pPr>
      <w:r w:rsidRPr="00582936">
        <w:rPr>
          <w:rFonts w:ascii="Century Gothic" w:eastAsia="Times New Roman" w:hAnsi="Century Gothic" w:cs="Open Sans"/>
          <w:color w:val="6E6E7C"/>
          <w:sz w:val="21"/>
          <w:szCs w:val="21"/>
          <w:lang w:eastAsia="es-ES_tradnl"/>
        </w:rPr>
        <w:t>Por otr</w:t>
      </w:r>
      <w:r w:rsidR="005D6130" w:rsidRPr="00582936">
        <w:rPr>
          <w:rFonts w:ascii="Century Gothic" w:eastAsia="Times New Roman" w:hAnsi="Century Gothic" w:cs="Open Sans"/>
          <w:color w:val="6E6E7C"/>
          <w:sz w:val="21"/>
          <w:szCs w:val="21"/>
          <w:lang w:eastAsia="es-ES_tradnl"/>
        </w:rPr>
        <w:t>o lado;</w:t>
      </w:r>
      <w:r w:rsidRPr="00582936">
        <w:rPr>
          <w:rFonts w:ascii="Century Gothic" w:eastAsia="Times New Roman" w:hAnsi="Century Gothic" w:cs="Open Sans"/>
          <w:color w:val="6E6E7C"/>
          <w:sz w:val="21"/>
          <w:szCs w:val="21"/>
          <w:lang w:eastAsia="es-ES_tradnl"/>
        </w:rPr>
        <w:t xml:space="preserve"> se verifica que</w:t>
      </w:r>
      <w:r w:rsidR="005D6130" w:rsidRPr="00582936">
        <w:rPr>
          <w:rFonts w:ascii="Century Gothic" w:eastAsia="Times New Roman" w:hAnsi="Century Gothic" w:cs="Open Sans"/>
          <w:color w:val="6E6E7C"/>
          <w:sz w:val="21"/>
          <w:szCs w:val="21"/>
          <w:lang w:eastAsia="es-ES_tradnl"/>
        </w:rPr>
        <w:t>,</w:t>
      </w:r>
      <w:r w:rsidRPr="00582936">
        <w:rPr>
          <w:rFonts w:ascii="Century Gothic" w:eastAsia="Times New Roman" w:hAnsi="Century Gothic" w:cs="Open Sans"/>
          <w:color w:val="6E6E7C"/>
          <w:sz w:val="21"/>
          <w:szCs w:val="21"/>
          <w:lang w:eastAsia="es-ES_tradnl"/>
        </w:rPr>
        <w:t xml:space="preserve"> la integración de la información detallada en las distintas secciones que forman parte del aplicativo de recolección INFOCAP</w:t>
      </w:r>
      <w:r w:rsidR="00BC68F4">
        <w:rPr>
          <w:rFonts w:ascii="Century Gothic" w:eastAsia="Times New Roman" w:hAnsi="Century Gothic" w:cs="Open Sans"/>
          <w:color w:val="6E6E7C"/>
          <w:sz w:val="21"/>
          <w:szCs w:val="21"/>
          <w:lang w:eastAsia="es-ES_tradnl"/>
        </w:rPr>
        <w:t>T</w:t>
      </w:r>
      <w:r w:rsidRPr="00582936">
        <w:rPr>
          <w:rFonts w:ascii="Century Gothic" w:eastAsia="Times New Roman" w:hAnsi="Century Gothic" w:cs="Open Sans"/>
          <w:color w:val="6E6E7C"/>
          <w:sz w:val="21"/>
          <w:szCs w:val="21"/>
          <w:lang w:eastAsia="es-ES_tradnl"/>
        </w:rPr>
        <w:t xml:space="preserve"> sea correcta; pues, el desfase o incorrecta descarga de información afectaría la validez y calidad de </w:t>
      </w:r>
      <w:r w:rsidR="005D6130" w:rsidRPr="00582936">
        <w:rPr>
          <w:rFonts w:ascii="Century Gothic" w:eastAsia="Times New Roman" w:hAnsi="Century Gothic" w:cs="Open Sans"/>
          <w:color w:val="6E6E7C"/>
          <w:sz w:val="21"/>
          <w:szCs w:val="21"/>
          <w:lang w:eastAsia="es-ES_tradnl"/>
        </w:rPr>
        <w:t>los datos</w:t>
      </w:r>
      <w:r w:rsidRPr="00582936">
        <w:rPr>
          <w:rFonts w:ascii="Century Gothic" w:eastAsia="Times New Roman" w:hAnsi="Century Gothic" w:cs="Open Sans"/>
          <w:color w:val="6E6E7C"/>
          <w:sz w:val="21"/>
          <w:szCs w:val="21"/>
          <w:lang w:eastAsia="es-ES_tradnl"/>
        </w:rPr>
        <w:t xml:space="preserve">; </w:t>
      </w:r>
      <w:r w:rsidR="001D1ABF">
        <w:rPr>
          <w:rFonts w:ascii="Century Gothic" w:eastAsia="Times New Roman" w:hAnsi="Century Gothic" w:cs="Open Sans"/>
          <w:color w:val="6E6E7C"/>
          <w:sz w:val="21"/>
          <w:szCs w:val="21"/>
          <w:lang w:eastAsia="es-ES_tradnl"/>
        </w:rPr>
        <w:t xml:space="preserve">por lo </w:t>
      </w:r>
      <w:r w:rsidRPr="00582936">
        <w:rPr>
          <w:rFonts w:ascii="Century Gothic" w:eastAsia="Times New Roman" w:hAnsi="Century Gothic" w:cs="Open Sans"/>
          <w:color w:val="6E6E7C"/>
          <w:sz w:val="21"/>
          <w:szCs w:val="21"/>
          <w:lang w:eastAsia="es-ES_tradnl"/>
        </w:rPr>
        <w:t>que, cada corte</w:t>
      </w:r>
      <w:r w:rsidR="005D6130" w:rsidRPr="00582936">
        <w:rPr>
          <w:rFonts w:ascii="Century Gothic" w:eastAsia="Times New Roman" w:hAnsi="Century Gothic" w:cs="Open Sans"/>
          <w:color w:val="6E6E7C"/>
          <w:sz w:val="21"/>
          <w:szCs w:val="21"/>
          <w:lang w:eastAsia="es-ES_tradnl"/>
        </w:rPr>
        <w:t xml:space="preserve"> </w:t>
      </w:r>
      <w:r w:rsidRPr="00582936">
        <w:rPr>
          <w:rFonts w:ascii="Century Gothic" w:eastAsia="Times New Roman" w:hAnsi="Century Gothic" w:cs="Open Sans"/>
          <w:color w:val="6E6E7C"/>
          <w:sz w:val="21"/>
          <w:szCs w:val="21"/>
          <w:lang w:eastAsia="es-ES_tradnl"/>
        </w:rPr>
        <w:t xml:space="preserve">solicitado a DIRAD es verificado a partir de una línea de códigos generada dentro del software R, en caso de existir inconsistencias en la información, se obtiene un reporte con las variables afectadas. </w:t>
      </w:r>
    </w:p>
    <w:p w14:paraId="42598279" w14:textId="77777777" w:rsidR="00E32AF7" w:rsidRPr="00582936" w:rsidRDefault="00E32AF7" w:rsidP="00D12FFC">
      <w:pPr>
        <w:spacing w:after="240" w:line="276" w:lineRule="auto"/>
        <w:jc w:val="both"/>
        <w:rPr>
          <w:rFonts w:ascii="Century Gothic" w:eastAsia="Times New Roman" w:hAnsi="Century Gothic" w:cs="Open Sans"/>
          <w:b/>
          <w:color w:val="6E6E7C"/>
          <w:szCs w:val="21"/>
          <w:lang w:eastAsia="es-ES_tradnl"/>
        </w:rPr>
      </w:pPr>
      <w:r w:rsidRPr="00582936">
        <w:rPr>
          <w:rFonts w:ascii="Century Gothic" w:eastAsia="Times New Roman" w:hAnsi="Century Gothic" w:cs="Open Sans"/>
          <w:b/>
          <w:color w:val="6E6E7C"/>
          <w:szCs w:val="21"/>
          <w:lang w:eastAsia="es-ES_tradnl"/>
        </w:rPr>
        <w:t>Integración de bases de datos</w:t>
      </w:r>
    </w:p>
    <w:p w14:paraId="7EEF3A5D" w14:textId="77777777" w:rsidR="00E32AF7" w:rsidRPr="00582936" w:rsidRDefault="00E32AF7" w:rsidP="00D12FFC">
      <w:pPr>
        <w:spacing w:after="240" w:line="276" w:lineRule="auto"/>
        <w:jc w:val="both"/>
        <w:rPr>
          <w:rFonts w:ascii="Century Gothic" w:eastAsia="Times New Roman" w:hAnsi="Century Gothic" w:cs="Open Sans"/>
          <w:color w:val="6E6E7C"/>
          <w:sz w:val="21"/>
          <w:szCs w:val="21"/>
          <w:lang w:eastAsia="es-ES_tradnl"/>
        </w:rPr>
      </w:pPr>
      <w:r w:rsidRPr="00582936">
        <w:rPr>
          <w:rFonts w:ascii="Century Gothic" w:eastAsia="Times New Roman" w:hAnsi="Century Gothic" w:cs="Open Sans"/>
          <w:color w:val="6E6E7C"/>
          <w:sz w:val="21"/>
          <w:szCs w:val="21"/>
          <w:lang w:eastAsia="es-ES_tradnl"/>
        </w:rPr>
        <w:t>A fin de aprovecha</w:t>
      </w:r>
      <w:r w:rsidR="001D1ABF">
        <w:rPr>
          <w:rFonts w:ascii="Century Gothic" w:eastAsia="Times New Roman" w:hAnsi="Century Gothic" w:cs="Open Sans"/>
          <w:color w:val="6E6E7C"/>
          <w:sz w:val="21"/>
          <w:szCs w:val="21"/>
          <w:lang w:eastAsia="es-ES_tradnl"/>
        </w:rPr>
        <w:t>r</w:t>
      </w:r>
      <w:r w:rsidRPr="00582936">
        <w:rPr>
          <w:rFonts w:ascii="Century Gothic" w:eastAsia="Times New Roman" w:hAnsi="Century Gothic" w:cs="Open Sans"/>
          <w:color w:val="6E6E7C"/>
          <w:sz w:val="21"/>
          <w:szCs w:val="21"/>
          <w:lang w:eastAsia="es-ES_tradnl"/>
        </w:rPr>
        <w:t xml:space="preserve"> de los Registros Administrativos</w:t>
      </w:r>
      <w:r w:rsidR="004D7B63" w:rsidRPr="00582936">
        <w:rPr>
          <w:rFonts w:ascii="Century Gothic" w:eastAsia="Times New Roman" w:hAnsi="Century Gothic" w:cs="Open Sans"/>
          <w:color w:val="6E6E7C"/>
          <w:sz w:val="21"/>
          <w:szCs w:val="21"/>
          <w:lang w:eastAsia="es-ES_tradnl"/>
        </w:rPr>
        <w:t xml:space="preserve"> (RR.AA</w:t>
      </w:r>
      <w:r w:rsidR="00596954">
        <w:rPr>
          <w:rFonts w:ascii="Century Gothic" w:eastAsia="Times New Roman" w:hAnsi="Century Gothic" w:cs="Open Sans"/>
          <w:color w:val="6E6E7C"/>
          <w:sz w:val="21"/>
          <w:szCs w:val="21"/>
          <w:lang w:eastAsia="es-ES_tradnl"/>
        </w:rPr>
        <w:t>.</w:t>
      </w:r>
      <w:r w:rsidR="004D7B63" w:rsidRPr="00582936">
        <w:rPr>
          <w:rFonts w:ascii="Century Gothic" w:eastAsia="Times New Roman" w:hAnsi="Century Gothic" w:cs="Open Sans"/>
          <w:color w:val="6E6E7C"/>
          <w:sz w:val="21"/>
          <w:szCs w:val="21"/>
          <w:lang w:eastAsia="es-ES_tradnl"/>
        </w:rPr>
        <w:t>)</w:t>
      </w:r>
      <w:r w:rsidRPr="00582936">
        <w:rPr>
          <w:rFonts w:ascii="Century Gothic" w:eastAsia="Times New Roman" w:hAnsi="Century Gothic" w:cs="Open Sans"/>
          <w:color w:val="6E6E7C"/>
          <w:sz w:val="21"/>
          <w:szCs w:val="21"/>
          <w:lang w:eastAsia="es-ES_tradnl"/>
        </w:rPr>
        <w:t xml:space="preserve">; a partir del año de investigación 2021, la ENESEM </w:t>
      </w:r>
      <w:r w:rsidR="004D7B63" w:rsidRPr="00582936">
        <w:rPr>
          <w:rFonts w:ascii="Century Gothic" w:eastAsia="Times New Roman" w:hAnsi="Century Gothic" w:cs="Open Sans"/>
          <w:color w:val="6E6E7C"/>
          <w:sz w:val="21"/>
          <w:szCs w:val="21"/>
          <w:lang w:eastAsia="es-ES_tradnl"/>
        </w:rPr>
        <w:t>us</w:t>
      </w:r>
      <w:r w:rsidR="001D1ABF">
        <w:rPr>
          <w:rFonts w:ascii="Century Gothic" w:eastAsia="Times New Roman" w:hAnsi="Century Gothic" w:cs="Open Sans"/>
          <w:color w:val="6E6E7C"/>
          <w:sz w:val="21"/>
          <w:szCs w:val="21"/>
          <w:lang w:eastAsia="es-ES_tradnl"/>
        </w:rPr>
        <w:t>a</w:t>
      </w:r>
      <w:r w:rsidR="004D7B63" w:rsidRPr="00582936">
        <w:rPr>
          <w:rFonts w:ascii="Century Gothic" w:eastAsia="Times New Roman" w:hAnsi="Century Gothic" w:cs="Open Sans"/>
          <w:color w:val="6E6E7C"/>
          <w:sz w:val="21"/>
          <w:szCs w:val="21"/>
          <w:lang w:eastAsia="es-ES_tradnl"/>
        </w:rPr>
        <w:t xml:space="preserve"> los RR.AA</w:t>
      </w:r>
      <w:r w:rsidR="00596954">
        <w:rPr>
          <w:rFonts w:ascii="Century Gothic" w:eastAsia="Times New Roman" w:hAnsi="Century Gothic" w:cs="Open Sans"/>
          <w:color w:val="6E6E7C"/>
          <w:sz w:val="21"/>
          <w:szCs w:val="21"/>
          <w:lang w:eastAsia="es-ES_tradnl"/>
        </w:rPr>
        <w:t>.</w:t>
      </w:r>
      <w:r w:rsidR="004D7B63" w:rsidRPr="00582936">
        <w:rPr>
          <w:rFonts w:ascii="Century Gothic" w:eastAsia="Times New Roman" w:hAnsi="Century Gothic" w:cs="Open Sans"/>
          <w:color w:val="6E6E7C"/>
          <w:sz w:val="21"/>
          <w:szCs w:val="21"/>
          <w:lang w:eastAsia="es-ES_tradnl"/>
        </w:rPr>
        <w:t xml:space="preserve"> </w:t>
      </w:r>
      <w:r w:rsidRPr="00582936">
        <w:rPr>
          <w:rFonts w:ascii="Century Gothic" w:eastAsia="Times New Roman" w:hAnsi="Century Gothic" w:cs="Open Sans"/>
          <w:color w:val="6E6E7C"/>
          <w:sz w:val="21"/>
          <w:szCs w:val="21"/>
          <w:lang w:eastAsia="es-ES_tradnl"/>
        </w:rPr>
        <w:t>provenie</w:t>
      </w:r>
      <w:r w:rsidR="004D7B63" w:rsidRPr="00582936">
        <w:rPr>
          <w:rFonts w:ascii="Century Gothic" w:eastAsia="Times New Roman" w:hAnsi="Century Gothic" w:cs="Open Sans"/>
          <w:color w:val="6E6E7C"/>
          <w:sz w:val="21"/>
          <w:szCs w:val="21"/>
          <w:lang w:eastAsia="es-ES_tradnl"/>
        </w:rPr>
        <w:t xml:space="preserve">nte del </w:t>
      </w:r>
      <w:r w:rsidR="00830A9A" w:rsidRPr="00830A9A">
        <w:rPr>
          <w:rFonts w:ascii="Century Gothic" w:eastAsia="Times New Roman" w:hAnsi="Century Gothic" w:cs="Open Sans"/>
          <w:color w:val="6E6E7C"/>
          <w:sz w:val="21"/>
          <w:szCs w:val="21"/>
          <w:lang w:eastAsia="es-ES_tradnl"/>
        </w:rPr>
        <w:t>Registro Estadístico de Empleo en la Seguridad Social (REESS)</w:t>
      </w:r>
      <w:r w:rsidR="004D7B63" w:rsidRPr="00582936">
        <w:rPr>
          <w:rFonts w:ascii="Century Gothic" w:eastAsia="Times New Roman" w:hAnsi="Century Gothic" w:cs="Open Sans"/>
          <w:color w:val="6E6E7C"/>
          <w:sz w:val="21"/>
          <w:szCs w:val="21"/>
          <w:lang w:eastAsia="es-ES_tradnl"/>
        </w:rPr>
        <w:t>, donde, l</w:t>
      </w:r>
      <w:r w:rsidRPr="00582936">
        <w:rPr>
          <w:rFonts w:ascii="Century Gothic" w:eastAsia="Times New Roman" w:hAnsi="Century Gothic" w:cs="Open Sans"/>
          <w:color w:val="6E6E7C"/>
          <w:sz w:val="21"/>
          <w:szCs w:val="21"/>
          <w:lang w:eastAsia="es-ES_tradnl"/>
        </w:rPr>
        <w:t>as variables disponibles para el análisis y ejercicio de precarga son las siguientes:</w:t>
      </w:r>
    </w:p>
    <w:p w14:paraId="3A9EFCE5" w14:textId="77777777" w:rsidR="004D7B63" w:rsidRPr="00582936" w:rsidRDefault="004D7B63" w:rsidP="00E5524A">
      <w:pPr>
        <w:pStyle w:val="Default"/>
        <w:numPr>
          <w:ilvl w:val="0"/>
          <w:numId w:val="21"/>
        </w:numPr>
        <w:rPr>
          <w:color w:val="6E6E7C"/>
          <w:sz w:val="21"/>
          <w:szCs w:val="21"/>
        </w:rPr>
      </w:pPr>
      <w:r w:rsidRPr="00582936">
        <w:rPr>
          <w:color w:val="6E6E7C"/>
          <w:sz w:val="21"/>
          <w:szCs w:val="21"/>
        </w:rPr>
        <w:t>Plazas hombre noviembre 2022.</w:t>
      </w:r>
    </w:p>
    <w:p w14:paraId="0058A175" w14:textId="77777777" w:rsidR="004D7B63" w:rsidRPr="00582936" w:rsidRDefault="004D7B63" w:rsidP="00E5524A">
      <w:pPr>
        <w:pStyle w:val="Default"/>
        <w:numPr>
          <w:ilvl w:val="0"/>
          <w:numId w:val="21"/>
        </w:numPr>
        <w:rPr>
          <w:color w:val="6E6E7C"/>
          <w:sz w:val="21"/>
          <w:szCs w:val="21"/>
        </w:rPr>
      </w:pPr>
      <w:r w:rsidRPr="00582936">
        <w:rPr>
          <w:color w:val="6E6E7C"/>
          <w:sz w:val="21"/>
          <w:szCs w:val="21"/>
        </w:rPr>
        <w:t xml:space="preserve">Plazas mujer noviembre 2022. </w:t>
      </w:r>
    </w:p>
    <w:p w14:paraId="6336A4D2" w14:textId="77777777" w:rsidR="004D7B63" w:rsidRPr="00582936" w:rsidRDefault="004D7B63" w:rsidP="00E5524A">
      <w:pPr>
        <w:pStyle w:val="Default"/>
        <w:numPr>
          <w:ilvl w:val="0"/>
          <w:numId w:val="21"/>
        </w:numPr>
        <w:rPr>
          <w:color w:val="6E6E7C"/>
          <w:sz w:val="21"/>
          <w:szCs w:val="21"/>
        </w:rPr>
      </w:pPr>
      <w:r w:rsidRPr="00582936">
        <w:rPr>
          <w:color w:val="6E6E7C"/>
          <w:sz w:val="21"/>
          <w:szCs w:val="21"/>
        </w:rPr>
        <w:t xml:space="preserve">Sueldo hombre a noviembre 2022. </w:t>
      </w:r>
    </w:p>
    <w:p w14:paraId="425E09A5" w14:textId="77777777" w:rsidR="004D7B63" w:rsidRPr="00582936" w:rsidRDefault="004D7B63" w:rsidP="00E5524A">
      <w:pPr>
        <w:pStyle w:val="Default"/>
        <w:numPr>
          <w:ilvl w:val="0"/>
          <w:numId w:val="21"/>
        </w:numPr>
        <w:rPr>
          <w:color w:val="6E6E7C"/>
          <w:sz w:val="21"/>
          <w:szCs w:val="21"/>
        </w:rPr>
      </w:pPr>
      <w:r w:rsidRPr="00582936">
        <w:rPr>
          <w:color w:val="6E6E7C"/>
          <w:sz w:val="21"/>
          <w:szCs w:val="21"/>
        </w:rPr>
        <w:t xml:space="preserve">Sueldo mujer a noviembre 2022. </w:t>
      </w:r>
    </w:p>
    <w:p w14:paraId="2CA4E2BF" w14:textId="77777777" w:rsidR="004D7B63" w:rsidRPr="00582936" w:rsidRDefault="004D7B63" w:rsidP="00E5524A">
      <w:pPr>
        <w:pStyle w:val="Default"/>
        <w:numPr>
          <w:ilvl w:val="0"/>
          <w:numId w:val="21"/>
        </w:numPr>
        <w:rPr>
          <w:color w:val="6E6E7C"/>
          <w:sz w:val="21"/>
          <w:szCs w:val="21"/>
        </w:rPr>
      </w:pPr>
      <w:r w:rsidRPr="00582936">
        <w:rPr>
          <w:color w:val="6E6E7C"/>
          <w:sz w:val="21"/>
          <w:szCs w:val="21"/>
        </w:rPr>
        <w:t xml:space="preserve">Sueldo hombre anual 2022. </w:t>
      </w:r>
    </w:p>
    <w:p w14:paraId="4C9B9121" w14:textId="77777777" w:rsidR="004D7B63" w:rsidRPr="00582936" w:rsidRDefault="004D7B63" w:rsidP="00E5524A">
      <w:pPr>
        <w:pStyle w:val="Default"/>
        <w:numPr>
          <w:ilvl w:val="0"/>
          <w:numId w:val="21"/>
        </w:numPr>
        <w:rPr>
          <w:color w:val="6E6E7C"/>
          <w:sz w:val="21"/>
          <w:szCs w:val="21"/>
        </w:rPr>
      </w:pPr>
      <w:r w:rsidRPr="00582936">
        <w:rPr>
          <w:color w:val="6E6E7C"/>
          <w:sz w:val="21"/>
          <w:szCs w:val="21"/>
        </w:rPr>
        <w:t>Sueldo mujer anual 2022.</w:t>
      </w:r>
    </w:p>
    <w:p w14:paraId="071B6D5E" w14:textId="77777777" w:rsidR="004D7B63" w:rsidRPr="00582936" w:rsidRDefault="004D7B63" w:rsidP="004D7B63">
      <w:pPr>
        <w:pStyle w:val="Default"/>
        <w:ind w:left="720"/>
        <w:rPr>
          <w:color w:val="6E6E7C"/>
          <w:sz w:val="20"/>
          <w:szCs w:val="20"/>
        </w:rPr>
      </w:pPr>
    </w:p>
    <w:p w14:paraId="423F6279" w14:textId="77777777" w:rsidR="00E32AF7" w:rsidRPr="00582936" w:rsidRDefault="004D7B63" w:rsidP="00D12FFC">
      <w:pPr>
        <w:spacing w:after="240" w:line="276" w:lineRule="auto"/>
        <w:jc w:val="both"/>
        <w:rPr>
          <w:rFonts w:ascii="Century Gothic" w:eastAsia="Times New Roman" w:hAnsi="Century Gothic" w:cs="Open Sans"/>
          <w:color w:val="6E6E7C"/>
          <w:sz w:val="21"/>
          <w:szCs w:val="21"/>
          <w:lang w:eastAsia="es-ES_tradnl"/>
        </w:rPr>
      </w:pPr>
      <w:r w:rsidRPr="00582936">
        <w:rPr>
          <w:rFonts w:ascii="Century Gothic" w:eastAsia="Times New Roman" w:hAnsi="Century Gothic" w:cs="Open Sans"/>
          <w:color w:val="6E6E7C"/>
          <w:sz w:val="21"/>
          <w:szCs w:val="21"/>
          <w:lang w:eastAsia="es-ES_tradnl"/>
        </w:rPr>
        <w:t xml:space="preserve">Para la ENESEM 2022 se adoptó el procedimiento de precarga con información del </w:t>
      </w:r>
      <w:r w:rsidR="00830A9A">
        <w:rPr>
          <w:rFonts w:ascii="Century Gothic" w:eastAsia="Calibri" w:hAnsi="Century Gothic" w:cs="Times New Roman"/>
          <w:iCs/>
          <w:color w:val="6E6E7C"/>
          <w:sz w:val="21"/>
          <w:szCs w:val="21"/>
          <w:lang w:eastAsia="es-EC"/>
        </w:rPr>
        <w:t>REESS</w:t>
      </w:r>
      <w:r w:rsidRPr="00582936">
        <w:rPr>
          <w:rFonts w:ascii="Century Gothic" w:eastAsia="Times New Roman" w:hAnsi="Century Gothic" w:cs="Open Sans"/>
          <w:color w:val="6E6E7C"/>
          <w:sz w:val="21"/>
          <w:szCs w:val="21"/>
          <w:lang w:eastAsia="es-ES_tradnl"/>
        </w:rPr>
        <w:t xml:space="preserve"> 2022. Este registro administrativo proporciona información totalizada del personal afiliado y salarios, debido a la desagregación de la información por categorías de ocupación </w:t>
      </w:r>
      <w:r w:rsidR="005D6130" w:rsidRPr="00582936">
        <w:rPr>
          <w:rFonts w:ascii="Century Gothic" w:eastAsia="Times New Roman" w:hAnsi="Century Gothic" w:cs="Open Sans"/>
          <w:color w:val="6E6E7C"/>
          <w:sz w:val="21"/>
          <w:szCs w:val="21"/>
          <w:lang w:eastAsia="es-ES_tradnl"/>
        </w:rPr>
        <w:t>levantada</w:t>
      </w:r>
      <w:r w:rsidRPr="00582936">
        <w:rPr>
          <w:rFonts w:ascii="Century Gothic" w:eastAsia="Times New Roman" w:hAnsi="Century Gothic" w:cs="Open Sans"/>
          <w:color w:val="6E6E7C"/>
          <w:sz w:val="21"/>
          <w:szCs w:val="21"/>
          <w:lang w:eastAsia="es-ES_tradnl"/>
        </w:rPr>
        <w:t xml:space="preserve"> por el capítulo 5 “Personal Afiliado”; se realizaron tres procedimientos para estimar las categorías de ocupación del total de personal afiliado del REESS (véase en el punto 4.6 Edición e imputación). </w:t>
      </w:r>
    </w:p>
    <w:p w14:paraId="14B1A60F" w14:textId="77777777" w:rsidR="004D7B63" w:rsidRPr="00582936" w:rsidRDefault="004D7B63" w:rsidP="00D12FFC">
      <w:pPr>
        <w:spacing w:after="240" w:line="276" w:lineRule="auto"/>
        <w:jc w:val="both"/>
        <w:rPr>
          <w:rFonts w:ascii="Century Gothic" w:eastAsia="Times New Roman" w:hAnsi="Century Gothic" w:cs="Open Sans"/>
          <w:color w:val="6E6E7C"/>
          <w:sz w:val="21"/>
          <w:szCs w:val="21"/>
          <w:lang w:eastAsia="es-ES_tradnl"/>
        </w:rPr>
      </w:pPr>
      <w:r w:rsidRPr="00582936">
        <w:rPr>
          <w:rFonts w:ascii="Century Gothic" w:eastAsia="Times New Roman" w:hAnsi="Century Gothic" w:cs="Open Sans"/>
          <w:color w:val="6E6E7C"/>
          <w:sz w:val="21"/>
          <w:szCs w:val="21"/>
          <w:lang w:eastAsia="es-ES_tradnl"/>
        </w:rPr>
        <w:t xml:space="preserve">Una vez finalizado el proceso de imputación de la ENESEM 2022, se </w:t>
      </w:r>
      <w:r w:rsidR="005D6130" w:rsidRPr="00582936">
        <w:rPr>
          <w:rFonts w:ascii="Century Gothic" w:eastAsia="Times New Roman" w:hAnsi="Century Gothic" w:cs="Open Sans"/>
          <w:color w:val="6E6E7C"/>
          <w:sz w:val="21"/>
          <w:szCs w:val="21"/>
          <w:lang w:eastAsia="es-ES_tradnl"/>
        </w:rPr>
        <w:t>procede</w:t>
      </w:r>
      <w:r w:rsidRPr="00582936">
        <w:rPr>
          <w:rFonts w:ascii="Century Gothic" w:eastAsia="Times New Roman" w:hAnsi="Century Gothic" w:cs="Open Sans"/>
          <w:color w:val="6E6E7C"/>
          <w:sz w:val="21"/>
          <w:szCs w:val="21"/>
          <w:lang w:eastAsia="es-ES_tradnl"/>
        </w:rPr>
        <w:t xml:space="preserve"> a la precarga </w:t>
      </w:r>
      <w:r w:rsidR="005D6130" w:rsidRPr="00582936">
        <w:rPr>
          <w:rFonts w:ascii="Century Gothic" w:eastAsia="Times New Roman" w:hAnsi="Century Gothic" w:cs="Open Sans"/>
          <w:color w:val="6E6E7C"/>
          <w:sz w:val="21"/>
          <w:szCs w:val="21"/>
          <w:lang w:eastAsia="es-ES_tradnl"/>
        </w:rPr>
        <w:t>de la base de datos</w:t>
      </w:r>
      <w:r w:rsidR="00DE461D">
        <w:rPr>
          <w:rFonts w:ascii="Century Gothic" w:eastAsia="Times New Roman" w:hAnsi="Century Gothic" w:cs="Open Sans"/>
          <w:color w:val="6E6E7C"/>
          <w:sz w:val="21"/>
          <w:szCs w:val="21"/>
          <w:lang w:eastAsia="es-ES_tradnl"/>
        </w:rPr>
        <w:t xml:space="preserve"> de personal afiliado</w:t>
      </w:r>
      <w:r w:rsidR="005D6130" w:rsidRPr="00582936">
        <w:rPr>
          <w:rFonts w:ascii="Century Gothic" w:eastAsia="Times New Roman" w:hAnsi="Century Gothic" w:cs="Open Sans"/>
          <w:color w:val="6E6E7C"/>
          <w:sz w:val="21"/>
          <w:szCs w:val="21"/>
          <w:lang w:eastAsia="es-ES_tradnl"/>
        </w:rPr>
        <w:t xml:space="preserve"> obtenida a raíz del proceso aplicado dentro del aplicativo de recolección INFOCAPT, misma que, es integrada a la base de datos generada con la información registrada por el informante durante el proceso de recolección. </w:t>
      </w:r>
      <w:r w:rsidRPr="00582936">
        <w:rPr>
          <w:rFonts w:ascii="Century Gothic" w:eastAsia="Times New Roman" w:hAnsi="Century Gothic" w:cs="Open Sans"/>
          <w:color w:val="6E6E7C"/>
          <w:sz w:val="21"/>
          <w:szCs w:val="21"/>
          <w:lang w:eastAsia="es-ES_tradnl"/>
        </w:rPr>
        <w:t xml:space="preserve"> </w:t>
      </w:r>
    </w:p>
    <w:p w14:paraId="7E3C48B7"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269" w:name="_Toc126658003"/>
      <w:bookmarkStart w:id="270" w:name="_Toc148617356"/>
      <w:bookmarkStart w:id="271" w:name="_Toc161322573"/>
      <w:r w:rsidRPr="00D27640">
        <w:rPr>
          <w:rFonts w:eastAsiaTheme="minorHAnsi" w:cstheme="minorBidi"/>
          <w:bCs/>
          <w:color w:val="6E6E7C"/>
          <w:sz w:val="28"/>
          <w:szCs w:val="44"/>
        </w:rPr>
        <w:lastRenderedPageBreak/>
        <w:t>Clasificaciones y/o codificaciones</w:t>
      </w:r>
      <w:bookmarkEnd w:id="269"/>
      <w:bookmarkEnd w:id="270"/>
      <w:bookmarkEnd w:id="271"/>
      <w:r w:rsidRPr="00D27640">
        <w:rPr>
          <w:rFonts w:eastAsiaTheme="minorHAnsi" w:cstheme="minorBidi"/>
          <w:bCs/>
          <w:color w:val="6E6E7C"/>
          <w:sz w:val="28"/>
          <w:szCs w:val="44"/>
        </w:rPr>
        <w:t xml:space="preserve"> </w:t>
      </w:r>
    </w:p>
    <w:p w14:paraId="69BE8851" w14:textId="77777777" w:rsidR="004215A6" w:rsidRPr="00582936" w:rsidRDefault="004215A6" w:rsidP="004215A6">
      <w:pPr>
        <w:autoSpaceDE w:val="0"/>
        <w:autoSpaceDN w:val="0"/>
        <w:adjustRightInd w:val="0"/>
        <w:spacing w:before="240" w:after="240" w:line="276" w:lineRule="auto"/>
        <w:jc w:val="both"/>
        <w:rPr>
          <w:rFonts w:ascii="Century Gothic" w:eastAsia="Calibri" w:hAnsi="Century Gothic" w:cs="Calibri"/>
          <w:iCs/>
          <w:color w:val="6E6E7C"/>
          <w:sz w:val="21"/>
          <w:szCs w:val="21"/>
        </w:rPr>
      </w:pPr>
      <w:bookmarkStart w:id="272" w:name="_Toc126658004"/>
      <w:bookmarkStart w:id="273" w:name="_Toc148617357"/>
      <w:r w:rsidRPr="00582936">
        <w:rPr>
          <w:rFonts w:ascii="Century Gothic" w:eastAsia="Calibri" w:hAnsi="Century Gothic" w:cs="Calibri"/>
          <w:iCs/>
          <w:color w:val="6E6E7C"/>
          <w:sz w:val="21"/>
          <w:szCs w:val="21"/>
        </w:rPr>
        <w:t xml:space="preserve">En este proceso se clasifican y codifican las bases de datos integradas utilizando las clasificaciones estadísticas con estándares internacionales e instrumentos lógicos, adaptados a la realidad nacional, que agrupan, ordenan y categorizan fenómenos u objetos de la realidad económica y social del país. </w:t>
      </w:r>
    </w:p>
    <w:p w14:paraId="4D8084BC" w14:textId="77777777" w:rsidR="004215A6" w:rsidRPr="00582936" w:rsidRDefault="004215A6" w:rsidP="004215A6">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Times New Roman"/>
          <w:iCs/>
          <w:color w:val="6E6E7C"/>
          <w:sz w:val="21"/>
          <w:szCs w:val="21"/>
        </w:rPr>
        <w:t xml:space="preserve">La codificación consiste en transformar la información recopilada con el instrumento respectivo, a códigos apropiados, coherentes y previamente establecidos; es así como, la </w:t>
      </w:r>
      <w:r w:rsidRPr="00582936">
        <w:rPr>
          <w:rFonts w:ascii="Century Gothic" w:eastAsia="Calibri" w:hAnsi="Century Gothic" w:cs="Calibri"/>
          <w:iCs/>
          <w:color w:val="6E6E7C"/>
          <w:sz w:val="21"/>
          <w:szCs w:val="21"/>
        </w:rPr>
        <w:t xml:space="preserve">ENESEM utiliza nomenclaturas internacionales estandarizadas que permiten clasificar las actividades, productos, servicios y ocupaciones que ofrecen las empresas investigadas por la encuesta. A continuación, se detalla las clasificaciones utilizadas: </w:t>
      </w:r>
    </w:p>
    <w:p w14:paraId="5670FD0F" w14:textId="77777777" w:rsidR="004215A6" w:rsidRPr="00582936" w:rsidRDefault="004215A6" w:rsidP="00E5524A">
      <w:pPr>
        <w:numPr>
          <w:ilvl w:val="0"/>
          <w:numId w:val="23"/>
        </w:numPr>
        <w:spacing w:after="200" w:line="276" w:lineRule="auto"/>
        <w:contextualSpacing/>
        <w:jc w:val="both"/>
        <w:rPr>
          <w:rFonts w:ascii="Century Gothic" w:eastAsia="Calibri" w:hAnsi="Century Gothic" w:cs="Times New Roman"/>
          <w:b/>
          <w:iCs/>
          <w:color w:val="6E6E7C"/>
          <w:sz w:val="21"/>
          <w:szCs w:val="21"/>
        </w:rPr>
      </w:pPr>
      <w:r w:rsidRPr="00582936">
        <w:rPr>
          <w:rFonts w:ascii="Century Gothic" w:eastAsia="Calibri" w:hAnsi="Century Gothic" w:cs="Calibri"/>
          <w:b/>
          <w:iCs/>
          <w:color w:val="6E6E7C"/>
          <w:sz w:val="21"/>
          <w:szCs w:val="21"/>
        </w:rPr>
        <w:t>Clasificación Industrial Internacional Uniforme (CIIU) de actividades económicas Rev. 4.0.</w:t>
      </w:r>
    </w:p>
    <w:p w14:paraId="47A8FD58" w14:textId="77777777" w:rsidR="004215A6" w:rsidRPr="00582936" w:rsidRDefault="004215A6" w:rsidP="004215A6">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Times New Roman"/>
          <w:iCs/>
          <w:color w:val="6E6E7C"/>
          <w:sz w:val="21"/>
          <w:szCs w:val="21"/>
        </w:rPr>
        <w:t xml:space="preserve">Es la clasificación internacional de referencia de las actividades productivas. Su propósito principal es ofrecer un conjunto de categorías de actividades que se pueda utilizar para la reunión y difusión de datos estadísticos de acuerdo con esas actividades </w:t>
      </w:r>
      <w:sdt>
        <w:sdtPr>
          <w:rPr>
            <w:rFonts w:ascii="Century Gothic" w:eastAsia="Times New Roman" w:hAnsi="Century Gothic" w:cs="Arial"/>
            <w:bCs/>
            <w:iCs/>
            <w:color w:val="6E6E7C"/>
            <w:sz w:val="21"/>
            <w:szCs w:val="21"/>
            <w:lang w:eastAsia="es-EC"/>
          </w:rPr>
          <w:id w:val="-963576793"/>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MarcadorDePosición25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(ONU, 2009)</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 Es decir, l</w:t>
      </w:r>
      <w:r w:rsidRPr="00582936">
        <w:rPr>
          <w:rFonts w:ascii="Century Gothic" w:eastAsia="Calibri" w:hAnsi="Century Gothic" w:cs="Calibri"/>
          <w:iCs/>
          <w:color w:val="6E6E7C"/>
          <w:sz w:val="21"/>
          <w:szCs w:val="21"/>
        </w:rPr>
        <w:t>a clasificación CIIU permite catalogar uniformemente las actividades o unidades económicas de producción (empresas o establecimientos) de la ENESEM.</w:t>
      </w:r>
    </w:p>
    <w:p w14:paraId="390BEB17" w14:textId="77777777" w:rsidR="004215A6" w:rsidRPr="00582936" w:rsidRDefault="004215A6" w:rsidP="00E5524A">
      <w:pPr>
        <w:numPr>
          <w:ilvl w:val="0"/>
          <w:numId w:val="23"/>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Clasificación Central de Productos (CPC) Rev. 2.0.</w:t>
      </w:r>
    </w:p>
    <w:p w14:paraId="1946AE32" w14:textId="77777777" w:rsidR="004215A6" w:rsidRPr="00582936" w:rsidRDefault="004215A6" w:rsidP="004215A6">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Es una clasificación completa de productos que comprende agrupaciones de bienes y servicios de características comunes, que son el resultado de cualquier proceso productivo o actividad económica</w:t>
      </w:r>
      <w:r w:rsidRPr="00582936">
        <w:rPr>
          <w:rFonts w:ascii="Century Gothic" w:eastAsia="Times New Roman" w:hAnsi="Century Gothic" w:cs="Arial"/>
          <w:bCs/>
          <w:iCs/>
          <w:color w:val="6E6E7C"/>
          <w:sz w:val="21"/>
          <w:szCs w:val="21"/>
          <w:lang w:eastAsia="es-EC"/>
        </w:rPr>
        <w:t xml:space="preserve"> </w:t>
      </w:r>
      <w:sdt>
        <w:sdtPr>
          <w:rPr>
            <w:rFonts w:ascii="Century Gothic" w:eastAsia="Times New Roman" w:hAnsi="Century Gothic" w:cs="Arial"/>
            <w:bCs/>
            <w:iCs/>
            <w:color w:val="6E6E7C"/>
            <w:sz w:val="21"/>
            <w:szCs w:val="21"/>
            <w:lang w:eastAsia="es-EC"/>
          </w:rPr>
          <w:id w:val="1438174154"/>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MarcadorDePosición25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(ONU, 2009)</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Calibri" w:hAnsi="Century Gothic" w:cs="Times New Roman"/>
          <w:iCs/>
          <w:color w:val="6E6E7C"/>
          <w:sz w:val="21"/>
          <w:szCs w:val="21"/>
        </w:rPr>
        <w:t xml:space="preserve">; </w:t>
      </w:r>
      <w:r w:rsidRPr="00582936">
        <w:rPr>
          <w:rFonts w:ascii="Century Gothic" w:eastAsia="Calibri" w:hAnsi="Century Gothic" w:cs="Calibri"/>
          <w:iCs/>
          <w:color w:val="6E6E7C"/>
          <w:sz w:val="21"/>
          <w:szCs w:val="21"/>
        </w:rPr>
        <w:t>misma que es utilizada para el llenado del capítulo 2 de la ENESEM, específicamente en los puntos: 2.1 Producción y ventas netas de bienes producidos por la empresa; 2.2 Ventas netas de bienes comercializados por la empresa al por mayor, 2.3 Ventas netas de bienes comercializados por la empresa al por menor y 2.4 Ventas netas de servicios; además la CPC se usa en el capítulo 3 en el cuadro 3.1</w:t>
      </w:r>
      <w:r w:rsidRPr="00582936">
        <w:rPr>
          <w:rFonts w:ascii="Century Gothic" w:eastAsia="Calibri" w:hAnsi="Century Gothic" w:cs="Times New Roman"/>
          <w:iCs/>
          <w:color w:val="6E6E7C"/>
          <w:sz w:val="21"/>
          <w:szCs w:val="21"/>
        </w:rPr>
        <w:t xml:space="preserve"> </w:t>
      </w:r>
      <w:r w:rsidRPr="00582936">
        <w:rPr>
          <w:rFonts w:ascii="Century Gothic" w:eastAsia="Calibri" w:hAnsi="Century Gothic" w:cs="Calibri"/>
          <w:iCs/>
          <w:color w:val="6E6E7C"/>
          <w:sz w:val="21"/>
          <w:szCs w:val="21"/>
        </w:rPr>
        <w:t>Materia prima, materiales auxiliares, repuestos y accesorios, envases y embalajes.</w:t>
      </w:r>
    </w:p>
    <w:p w14:paraId="479569AA" w14:textId="77777777" w:rsidR="004215A6" w:rsidRPr="00582936" w:rsidRDefault="004215A6" w:rsidP="004215A6">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La Unidad de Clasificación contempla: </w:t>
      </w:r>
    </w:p>
    <w:p w14:paraId="4A036CC2" w14:textId="77777777" w:rsidR="004215A6" w:rsidRPr="00582936" w:rsidRDefault="004215A6" w:rsidP="00E5524A">
      <w:pPr>
        <w:numPr>
          <w:ilvl w:val="1"/>
          <w:numId w:val="23"/>
        </w:numPr>
        <w:spacing w:after="200" w:line="276" w:lineRule="auto"/>
        <w:ind w:left="993" w:hanging="284"/>
        <w:contextualSpacing/>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Bienes:</w:t>
      </w:r>
      <w:r w:rsidRPr="00582936">
        <w:rPr>
          <w:rFonts w:ascii="Century Gothic" w:eastAsia="Calibri" w:hAnsi="Century Gothic" w:cs="Calibri"/>
          <w:iCs/>
          <w:color w:val="6E6E7C"/>
          <w:sz w:val="21"/>
          <w:szCs w:val="21"/>
        </w:rPr>
        <w:t xml:space="preserve"> objetos físicos para los que existe una demanda, sobre los que se pueden establecer derechos de propiedad y cuya propiedad y titularidad puede transferirse mediante transacciones realizadas en los mercados. </w:t>
      </w:r>
      <w:sdt>
        <w:sdtPr>
          <w:rPr>
            <w:rFonts w:ascii="Century Gothic" w:eastAsia="Times New Roman" w:hAnsi="Century Gothic" w:cs="Arial"/>
            <w:bCs/>
            <w:iCs/>
            <w:color w:val="6E6E7C"/>
            <w:sz w:val="21"/>
            <w:szCs w:val="21"/>
            <w:lang w:eastAsia="es-EC"/>
          </w:rPr>
          <w:id w:val="-1259755653"/>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MarcadorDePosición25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(ONU, 2009)</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w:t>
      </w:r>
    </w:p>
    <w:p w14:paraId="10D7DAEE" w14:textId="4EBD1F59" w:rsidR="0032644F" w:rsidRPr="0032644F" w:rsidRDefault="004215A6" w:rsidP="0032644F">
      <w:pPr>
        <w:numPr>
          <w:ilvl w:val="1"/>
          <w:numId w:val="23"/>
        </w:numPr>
        <w:spacing w:after="200" w:line="276" w:lineRule="auto"/>
        <w:ind w:left="993" w:hanging="284"/>
        <w:contextualSpacing/>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Servicios:</w:t>
      </w:r>
      <w:r w:rsidRPr="00582936">
        <w:rPr>
          <w:rFonts w:ascii="Century Gothic" w:eastAsia="Calibri" w:hAnsi="Century Gothic" w:cs="Calibri"/>
          <w:iCs/>
          <w:color w:val="6E6E7C"/>
          <w:sz w:val="21"/>
          <w:szCs w:val="21"/>
        </w:rPr>
        <w:t xml:space="preserve"> engloban todas aquellas actividades que no producen bienes materiales de forma directa, sino actividades que se ofrecen para satisfacer las necesidades de la población, las características fundamentales de los servicios son: no almacenable, no transportable, intangible y se consume en el mismo tiempo que se produce. </w:t>
      </w:r>
      <w:sdt>
        <w:sdtPr>
          <w:rPr>
            <w:rFonts w:ascii="Century Gothic" w:eastAsia="Times New Roman" w:hAnsi="Century Gothic" w:cs="Arial"/>
            <w:bCs/>
            <w:iCs/>
            <w:color w:val="6E6E7C"/>
            <w:sz w:val="21"/>
            <w:szCs w:val="21"/>
            <w:lang w:eastAsia="es-EC"/>
          </w:rPr>
          <w:id w:val="-265155273"/>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CITATION MarcadorDePosición25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(ONU, 2009)</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w:t>
      </w:r>
    </w:p>
    <w:p w14:paraId="7F69B125" w14:textId="77777777" w:rsidR="0032644F" w:rsidRDefault="0032644F" w:rsidP="0032644F">
      <w:pPr>
        <w:spacing w:after="200" w:line="276" w:lineRule="auto"/>
        <w:contextualSpacing/>
        <w:jc w:val="both"/>
        <w:rPr>
          <w:rFonts w:ascii="Century Gothic" w:eastAsia="Calibri" w:hAnsi="Century Gothic" w:cs="Calibri"/>
          <w:iCs/>
          <w:color w:val="6E6E7C"/>
          <w:sz w:val="21"/>
          <w:szCs w:val="21"/>
        </w:rPr>
      </w:pPr>
    </w:p>
    <w:p w14:paraId="1634D818" w14:textId="77777777" w:rsidR="002022CC" w:rsidRDefault="002022CC" w:rsidP="0032644F">
      <w:pPr>
        <w:spacing w:after="200" w:line="276" w:lineRule="auto"/>
        <w:contextualSpacing/>
        <w:jc w:val="both"/>
        <w:rPr>
          <w:rFonts w:ascii="Century Gothic" w:eastAsia="Calibri" w:hAnsi="Century Gothic" w:cs="Calibri"/>
          <w:iCs/>
          <w:color w:val="6E6E7C"/>
          <w:sz w:val="21"/>
          <w:szCs w:val="21"/>
        </w:rPr>
      </w:pPr>
    </w:p>
    <w:p w14:paraId="4A4CA87F" w14:textId="77777777" w:rsidR="002022CC" w:rsidRDefault="002022CC" w:rsidP="0032644F">
      <w:pPr>
        <w:spacing w:after="200" w:line="276" w:lineRule="auto"/>
        <w:contextualSpacing/>
        <w:jc w:val="both"/>
        <w:rPr>
          <w:rFonts w:ascii="Century Gothic" w:eastAsia="Calibri" w:hAnsi="Century Gothic" w:cs="Calibri"/>
          <w:iCs/>
          <w:color w:val="6E6E7C"/>
          <w:sz w:val="21"/>
          <w:szCs w:val="21"/>
        </w:rPr>
      </w:pPr>
    </w:p>
    <w:p w14:paraId="07779E8E" w14:textId="77777777" w:rsidR="004215A6" w:rsidRPr="00582936" w:rsidRDefault="004215A6" w:rsidP="00E5524A">
      <w:pPr>
        <w:numPr>
          <w:ilvl w:val="0"/>
          <w:numId w:val="23"/>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lastRenderedPageBreak/>
        <w:t>Clasificación Nacional de Ocupaciones (CIUO) Rev. 08.</w:t>
      </w:r>
    </w:p>
    <w:p w14:paraId="130A71C6" w14:textId="77777777" w:rsidR="004215A6" w:rsidRPr="00582936" w:rsidRDefault="004215A6" w:rsidP="004215A6">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Es un sistema organizado de información sobre las diferentes ocupaciones de la población económicamente activa y se aplica para codificar la información del personal afiliado (capítulo 5) de la ENESEM.</w:t>
      </w:r>
    </w:p>
    <w:p w14:paraId="12BB77A6" w14:textId="77777777" w:rsidR="006E10E6" w:rsidRPr="00582936" w:rsidRDefault="004215A6" w:rsidP="004215A6">
      <w:pPr>
        <w:spacing w:after="200" w:line="276" w:lineRule="auto"/>
        <w:jc w:val="both"/>
        <w:rPr>
          <w:rFonts w:ascii="Century Gothic" w:eastAsia="Calibri" w:hAnsi="Century Gothic" w:cs="Calibri"/>
          <w:iCs/>
          <w:color w:val="6E6E7C"/>
          <w:sz w:val="21"/>
          <w:szCs w:val="21"/>
          <w:lang w:val="es-ES"/>
        </w:rPr>
      </w:pPr>
      <w:r w:rsidRPr="00582936">
        <w:rPr>
          <w:rFonts w:ascii="Century Gothic" w:eastAsia="Calibri" w:hAnsi="Century Gothic" w:cs="Calibri"/>
          <w:iCs/>
          <w:color w:val="6E6E7C"/>
          <w:sz w:val="21"/>
          <w:szCs w:val="21"/>
        </w:rPr>
        <w:t>Facilita un marco para el análisis, la agregación y la descripción de los contenidos del trabajo en una serie de grupos definidos claramente en función de las tareas que intervienen en cada empleo</w:t>
      </w:r>
      <w:sdt>
        <w:sdtPr>
          <w:rPr>
            <w:rFonts w:ascii="Century Gothic" w:eastAsia="Calibri" w:hAnsi="Century Gothic" w:cs="Times New Roman"/>
            <w:iCs/>
            <w:color w:val="6E6E7C"/>
            <w:sz w:val="21"/>
            <w:szCs w:val="21"/>
            <w:lang w:val="es-ES"/>
          </w:rPr>
          <w:id w:val="680473901"/>
          <w:citation/>
        </w:sdtPr>
        <w:sdtContent>
          <w:r w:rsidRPr="00582936">
            <w:rPr>
              <w:rFonts w:ascii="Century Gothic" w:eastAsia="Calibri" w:hAnsi="Century Gothic" w:cs="Calibri"/>
              <w:iCs/>
              <w:color w:val="6E6E7C"/>
              <w:sz w:val="21"/>
              <w:szCs w:val="21"/>
              <w:lang w:val="es-ES"/>
            </w:rPr>
            <w:fldChar w:fldCharType="begin"/>
          </w:r>
          <w:r w:rsidRPr="00582936">
            <w:rPr>
              <w:rFonts w:ascii="Century Gothic" w:eastAsia="Calibri" w:hAnsi="Century Gothic" w:cs="Calibri"/>
              <w:iCs/>
              <w:color w:val="6E6E7C"/>
              <w:sz w:val="21"/>
              <w:szCs w:val="21"/>
            </w:rPr>
            <w:instrText xml:space="preserve">CITATION OIT05 \l 12298 </w:instrText>
          </w:r>
          <w:r w:rsidRPr="00582936">
            <w:rPr>
              <w:rFonts w:ascii="Century Gothic" w:eastAsia="Calibri" w:hAnsi="Century Gothic" w:cs="Calibri"/>
              <w:iCs/>
              <w:color w:val="6E6E7C"/>
              <w:sz w:val="21"/>
              <w:szCs w:val="21"/>
              <w:lang w:val="es-ES"/>
            </w:rPr>
            <w:fldChar w:fldCharType="separate"/>
          </w:r>
          <w:r w:rsidR="006E6B3C">
            <w:rPr>
              <w:rFonts w:ascii="Century Gothic" w:eastAsia="Calibri" w:hAnsi="Century Gothic" w:cs="Calibri"/>
              <w:iCs/>
              <w:noProof/>
              <w:color w:val="6E6E7C"/>
              <w:sz w:val="21"/>
              <w:szCs w:val="21"/>
            </w:rPr>
            <w:t xml:space="preserve"> </w:t>
          </w:r>
          <w:r w:rsidR="006E6B3C" w:rsidRPr="006E6B3C">
            <w:rPr>
              <w:rFonts w:ascii="Century Gothic" w:eastAsia="Calibri" w:hAnsi="Century Gothic" w:cs="Calibri"/>
              <w:noProof/>
              <w:color w:val="6E6E7C"/>
              <w:sz w:val="21"/>
              <w:szCs w:val="21"/>
            </w:rPr>
            <w:t>(OIT, 2005)</w:t>
          </w:r>
          <w:r w:rsidRPr="00582936">
            <w:rPr>
              <w:rFonts w:ascii="Century Gothic" w:eastAsia="Calibri" w:hAnsi="Century Gothic" w:cs="Calibri"/>
              <w:iCs/>
              <w:color w:val="6E6E7C"/>
              <w:sz w:val="21"/>
              <w:szCs w:val="21"/>
              <w:lang w:val="es-ES"/>
            </w:rPr>
            <w:fldChar w:fldCharType="end"/>
          </w:r>
        </w:sdtContent>
      </w:sdt>
      <w:r w:rsidRPr="00582936">
        <w:rPr>
          <w:rFonts w:ascii="Century Gothic" w:eastAsia="Calibri" w:hAnsi="Century Gothic" w:cs="Calibri"/>
          <w:iCs/>
          <w:color w:val="6E6E7C"/>
          <w:sz w:val="21"/>
          <w:szCs w:val="21"/>
          <w:lang w:val="es-ES"/>
        </w:rPr>
        <w:t xml:space="preserve">. </w:t>
      </w:r>
    </w:p>
    <w:p w14:paraId="3CE9D00E" w14:textId="77777777" w:rsidR="004215A6" w:rsidRPr="00582936" w:rsidRDefault="004215A6" w:rsidP="00E5524A">
      <w:pPr>
        <w:numPr>
          <w:ilvl w:val="0"/>
          <w:numId w:val="24"/>
        </w:numPr>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División Política Administrativa (DPA), año 2022</w:t>
      </w:r>
    </w:p>
    <w:p w14:paraId="70DF7E20" w14:textId="77777777" w:rsidR="004215A6" w:rsidRPr="00582936" w:rsidRDefault="004215A6" w:rsidP="004215A6">
      <w:pPr>
        <w:spacing w:before="240"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La ENESEM utiliza como insumo la División Política Administrativa (DPA 2022), con el fin de homologar la clasificación de las provincias del país, además este documento es una guía para la clasificación de los cantones y parroquias (urbanas y rurales) y sus respectivas cabeceras o sedes administrativas. </w:t>
      </w:r>
    </w:p>
    <w:p w14:paraId="48F6980C"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274" w:name="_Toc161322574"/>
      <w:r w:rsidRPr="00D27640">
        <w:rPr>
          <w:rFonts w:eastAsiaTheme="minorHAnsi" w:cstheme="minorBidi"/>
          <w:bCs/>
          <w:color w:val="6E6E7C"/>
          <w:sz w:val="28"/>
          <w:szCs w:val="44"/>
        </w:rPr>
        <w:t>Validación</w:t>
      </w:r>
      <w:bookmarkEnd w:id="272"/>
      <w:bookmarkEnd w:id="273"/>
      <w:bookmarkEnd w:id="274"/>
    </w:p>
    <w:p w14:paraId="3733D91B" w14:textId="77777777" w:rsidR="00DD5852" w:rsidRPr="00582936" w:rsidRDefault="00DD5852" w:rsidP="00DD5852">
      <w:pPr>
        <w:spacing w:line="276" w:lineRule="auto"/>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 xml:space="preserve">El proceso de validación consiste en examinar los datos levantados en la encuesta para identificar posibles inconsistencias, valores atípicos, falta de respuesta, errores en la codificación y digitación, etc. Para la ENESEM este proceso se basa en </w:t>
      </w:r>
      <w:r w:rsidR="00B96AC8">
        <w:rPr>
          <w:rFonts w:ascii="Century Gothic" w:eastAsia="Times New Roman" w:hAnsi="Century Gothic" w:cs="Times New Roman"/>
          <w:color w:val="6E6E7C"/>
          <w:sz w:val="21"/>
          <w:szCs w:val="21"/>
        </w:rPr>
        <w:t>dos</w:t>
      </w:r>
      <w:r w:rsidRPr="00582936">
        <w:rPr>
          <w:rFonts w:ascii="Century Gothic" w:eastAsia="Times New Roman" w:hAnsi="Century Gothic" w:cs="Times New Roman"/>
          <w:color w:val="6E6E7C"/>
          <w:sz w:val="21"/>
          <w:szCs w:val="21"/>
        </w:rPr>
        <w:t xml:space="preserve"> fases que consisten en:</w:t>
      </w:r>
    </w:p>
    <w:p w14:paraId="5B1CA4FE" w14:textId="77777777" w:rsidR="00DD5852" w:rsidRPr="00582936" w:rsidRDefault="00DD5852" w:rsidP="00DD5852">
      <w:pPr>
        <w:spacing w:line="276" w:lineRule="auto"/>
        <w:jc w:val="both"/>
        <w:rPr>
          <w:rFonts w:ascii="Century Gothic" w:eastAsia="Times New Roman" w:hAnsi="Century Gothic" w:cs="Times New Roman"/>
          <w:color w:val="6E6E7C"/>
          <w:sz w:val="21"/>
          <w:szCs w:val="21"/>
        </w:rPr>
      </w:pPr>
    </w:p>
    <w:p w14:paraId="74F28959" w14:textId="77777777" w:rsidR="00DD5852" w:rsidRPr="00582936" w:rsidRDefault="00DD5852" w:rsidP="00E5524A">
      <w:pPr>
        <w:numPr>
          <w:ilvl w:val="0"/>
          <w:numId w:val="25"/>
        </w:numPr>
        <w:spacing w:after="200" w:line="276" w:lineRule="auto"/>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Detección de inconsistencias.</w:t>
      </w:r>
    </w:p>
    <w:p w14:paraId="178C1CD0" w14:textId="77777777" w:rsidR="00DD5852" w:rsidRPr="00582936" w:rsidRDefault="00DD5852" w:rsidP="00E5524A">
      <w:pPr>
        <w:numPr>
          <w:ilvl w:val="0"/>
          <w:numId w:val="25"/>
        </w:numPr>
        <w:spacing w:after="200" w:line="276" w:lineRule="auto"/>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 xml:space="preserve">Corrección de inconsistencias. </w:t>
      </w:r>
    </w:p>
    <w:p w14:paraId="753A063D" w14:textId="77777777" w:rsidR="00DD5852" w:rsidRPr="00582936" w:rsidRDefault="00DD5852" w:rsidP="00DD5852">
      <w:pPr>
        <w:rPr>
          <w:rFonts w:ascii="Century Gothic" w:hAnsi="Century Gothic"/>
          <w:color w:val="6E6E7C"/>
        </w:rPr>
      </w:pPr>
    </w:p>
    <w:p w14:paraId="4E0E5895" w14:textId="77777777" w:rsidR="00DD5852" w:rsidRPr="00582936" w:rsidRDefault="00DD5852" w:rsidP="00E5524A">
      <w:pPr>
        <w:numPr>
          <w:ilvl w:val="0"/>
          <w:numId w:val="23"/>
        </w:numPr>
        <w:spacing w:before="240" w:after="200" w:line="276" w:lineRule="auto"/>
        <w:contextualSpacing/>
        <w:jc w:val="both"/>
        <w:rPr>
          <w:rFonts w:ascii="Century Gothic" w:eastAsia="Times New Roman" w:hAnsi="Century Gothic" w:cs="Times New Roman"/>
          <w:b/>
          <w:bCs/>
          <w:color w:val="6E6E7C"/>
          <w:sz w:val="21"/>
          <w:szCs w:val="21"/>
        </w:rPr>
      </w:pPr>
      <w:r w:rsidRPr="00582936">
        <w:rPr>
          <w:rFonts w:ascii="Century Gothic" w:eastAsia="Times New Roman" w:hAnsi="Century Gothic" w:cs="Times New Roman"/>
          <w:b/>
          <w:bCs/>
          <w:color w:val="6E6E7C"/>
          <w:sz w:val="21"/>
          <w:szCs w:val="21"/>
        </w:rPr>
        <w:t xml:space="preserve">Fase de detección de inconsistencias </w:t>
      </w:r>
    </w:p>
    <w:p w14:paraId="176920E0" w14:textId="77777777" w:rsidR="00DD5852" w:rsidRPr="00582936" w:rsidRDefault="00DD5852" w:rsidP="00DD5852">
      <w:pPr>
        <w:spacing w:before="240" w:after="200" w:line="276" w:lineRule="auto"/>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Las principales actividades que se realizan se describen a continuación:</w:t>
      </w:r>
    </w:p>
    <w:p w14:paraId="371EF590" w14:textId="77777777" w:rsidR="00DD5852" w:rsidRPr="00582936" w:rsidRDefault="00DD5852" w:rsidP="00E5524A">
      <w:pPr>
        <w:numPr>
          <w:ilvl w:val="0"/>
          <w:numId w:val="26"/>
        </w:numPr>
        <w:spacing w:after="200" w:line="276" w:lineRule="auto"/>
        <w:ind w:left="1068"/>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Planificar el proceso de validación antes del levantamiento de información, elaborando un cronograma de ejecución de actividades y responsables.</w:t>
      </w:r>
    </w:p>
    <w:p w14:paraId="39BF5407" w14:textId="77777777" w:rsidR="00DD5852" w:rsidRPr="00582936" w:rsidRDefault="00DD5852" w:rsidP="00E5524A">
      <w:pPr>
        <w:numPr>
          <w:ilvl w:val="0"/>
          <w:numId w:val="26"/>
        </w:numPr>
        <w:spacing w:after="200" w:line="276" w:lineRule="auto"/>
        <w:ind w:left="1068"/>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 xml:space="preserve">Diseñar la malla de validación que ejecutará el aplicativo web de recolección para que </w:t>
      </w:r>
      <w:r w:rsidR="00111D5D">
        <w:rPr>
          <w:rFonts w:ascii="Century Gothic" w:eastAsia="Times New Roman" w:hAnsi="Century Gothic" w:cs="Times New Roman"/>
          <w:color w:val="6E6E7C"/>
          <w:sz w:val="21"/>
          <w:szCs w:val="21"/>
        </w:rPr>
        <w:t>é</w:t>
      </w:r>
      <w:r w:rsidRPr="00582936">
        <w:rPr>
          <w:rFonts w:ascii="Century Gothic" w:eastAsia="Times New Roman" w:hAnsi="Century Gothic" w:cs="Times New Roman"/>
          <w:color w:val="6E6E7C"/>
          <w:sz w:val="21"/>
          <w:szCs w:val="21"/>
        </w:rPr>
        <w:t>ste genere alertas oportunas en la carga de información.</w:t>
      </w:r>
    </w:p>
    <w:p w14:paraId="7C076BA7" w14:textId="77777777" w:rsidR="00DD5852" w:rsidRPr="00582936" w:rsidRDefault="00DD5852" w:rsidP="00E5524A">
      <w:pPr>
        <w:numPr>
          <w:ilvl w:val="0"/>
          <w:numId w:val="26"/>
        </w:numPr>
        <w:spacing w:after="200" w:line="276" w:lineRule="auto"/>
        <w:ind w:left="1068"/>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En el levantamiento, comparar los casos de la base de datos (información recolectada en el formulario web) con la información del reporte de cobertura</w:t>
      </w:r>
      <w:r w:rsidRPr="00582936">
        <w:rPr>
          <w:rFonts w:ascii="Century Gothic" w:eastAsia="Times New Roman" w:hAnsi="Century Gothic" w:cs="Times New Roman"/>
          <w:iCs/>
          <w:color w:val="6E6E7C"/>
          <w:sz w:val="21"/>
          <w:szCs w:val="21"/>
          <w:vertAlign w:val="superscript"/>
        </w:rPr>
        <w:footnoteReference w:id="13"/>
      </w:r>
      <w:r w:rsidRPr="00582936">
        <w:rPr>
          <w:rFonts w:ascii="Century Gothic" w:eastAsia="Times New Roman" w:hAnsi="Century Gothic" w:cs="Times New Roman"/>
          <w:color w:val="6E6E7C"/>
          <w:sz w:val="21"/>
          <w:szCs w:val="21"/>
        </w:rPr>
        <w:t>.</w:t>
      </w:r>
    </w:p>
    <w:p w14:paraId="43B9E113" w14:textId="77777777" w:rsidR="00111D5D" w:rsidRPr="00582936" w:rsidRDefault="00111D5D" w:rsidP="00DD5852">
      <w:pPr>
        <w:spacing w:line="276" w:lineRule="auto"/>
        <w:ind w:left="1056"/>
        <w:jc w:val="both"/>
        <w:rPr>
          <w:rFonts w:ascii="Century Gothic" w:eastAsia="Times New Roman" w:hAnsi="Century Gothic" w:cs="Times New Roman"/>
          <w:color w:val="6E6E7C"/>
          <w:sz w:val="21"/>
          <w:szCs w:val="21"/>
        </w:rPr>
      </w:pPr>
    </w:p>
    <w:p w14:paraId="4CFC7609" w14:textId="77777777" w:rsidR="00DD5852" w:rsidRPr="00582936" w:rsidRDefault="00DD5852" w:rsidP="00E5524A">
      <w:pPr>
        <w:numPr>
          <w:ilvl w:val="0"/>
          <w:numId w:val="23"/>
        </w:numPr>
        <w:spacing w:after="200" w:line="276" w:lineRule="auto"/>
        <w:contextualSpacing/>
        <w:jc w:val="both"/>
        <w:rPr>
          <w:rFonts w:ascii="Century Gothic" w:eastAsia="Times New Roman" w:hAnsi="Century Gothic" w:cs="Times New Roman"/>
          <w:b/>
          <w:bCs/>
          <w:color w:val="6E6E7C"/>
          <w:sz w:val="21"/>
          <w:szCs w:val="21"/>
        </w:rPr>
      </w:pPr>
      <w:r w:rsidRPr="00582936">
        <w:rPr>
          <w:rFonts w:ascii="Century Gothic" w:eastAsia="Times New Roman" w:hAnsi="Century Gothic" w:cs="Times New Roman"/>
          <w:b/>
          <w:bCs/>
          <w:color w:val="6E6E7C"/>
          <w:sz w:val="21"/>
          <w:szCs w:val="21"/>
        </w:rPr>
        <w:t>Fase de corrección de inconsistencias</w:t>
      </w:r>
    </w:p>
    <w:p w14:paraId="0C4912D6" w14:textId="77777777" w:rsidR="00DD5852" w:rsidRPr="00582936" w:rsidRDefault="00DD5852" w:rsidP="00DD5852">
      <w:pPr>
        <w:spacing w:after="200"/>
        <w:ind w:left="720"/>
        <w:contextualSpacing/>
        <w:jc w:val="both"/>
        <w:rPr>
          <w:rFonts w:ascii="Century Gothic" w:eastAsia="Times New Roman" w:hAnsi="Century Gothic" w:cs="Times New Roman"/>
          <w:b/>
          <w:bCs/>
          <w:color w:val="6E6E7C"/>
          <w:sz w:val="21"/>
          <w:szCs w:val="21"/>
        </w:rPr>
      </w:pPr>
      <w:r w:rsidRPr="00582936">
        <w:rPr>
          <w:rFonts w:ascii="Century Gothic" w:eastAsia="Times New Roman" w:hAnsi="Century Gothic" w:cs="Times New Roman"/>
          <w:b/>
          <w:bCs/>
          <w:color w:val="6E6E7C"/>
          <w:sz w:val="21"/>
          <w:szCs w:val="21"/>
        </w:rPr>
        <w:t xml:space="preserve"> </w:t>
      </w:r>
    </w:p>
    <w:p w14:paraId="6A644DDE" w14:textId="77777777" w:rsidR="00DD5852" w:rsidRPr="00582936" w:rsidRDefault="00DD5852" w:rsidP="00DD5852">
      <w:pPr>
        <w:spacing w:before="240" w:after="200" w:line="276" w:lineRule="auto"/>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A continuación, se describen las principales actividades realizadas en esta fase:</w:t>
      </w:r>
    </w:p>
    <w:p w14:paraId="250C2B58" w14:textId="77777777" w:rsidR="00DD5852" w:rsidRPr="00582936" w:rsidRDefault="00393943" w:rsidP="00E5524A">
      <w:pPr>
        <w:numPr>
          <w:ilvl w:val="0"/>
          <w:numId w:val="26"/>
        </w:numPr>
        <w:spacing w:after="200" w:line="276" w:lineRule="auto"/>
        <w:ind w:left="1134" w:hanging="426"/>
        <w:contextualSpacing/>
        <w:jc w:val="both"/>
        <w:rPr>
          <w:rFonts w:ascii="Century Gothic" w:eastAsia="Times New Roman" w:hAnsi="Century Gothic" w:cs="Times New Roman"/>
          <w:color w:val="6E6E7C"/>
          <w:sz w:val="21"/>
          <w:szCs w:val="21"/>
        </w:rPr>
      </w:pPr>
      <w:r>
        <w:rPr>
          <w:rFonts w:ascii="Century Gothic" w:eastAsia="Times New Roman" w:hAnsi="Century Gothic" w:cs="Times New Roman"/>
          <w:color w:val="6E6E7C"/>
          <w:sz w:val="21"/>
          <w:szCs w:val="21"/>
        </w:rPr>
        <w:t xml:space="preserve">Cada Coordinación Zonal es la encargada de la generación de un reporte de validación; mismo que, exhibe las inconsistencias presentadas en la información proporcionada por las empresas. Este insumo es generado a partir de líneas de código desarrolladas en el software </w:t>
      </w:r>
      <w:proofErr w:type="spellStart"/>
      <w:r>
        <w:rPr>
          <w:rFonts w:ascii="Century Gothic" w:eastAsia="Times New Roman" w:hAnsi="Century Gothic" w:cs="Times New Roman"/>
          <w:color w:val="6E6E7C"/>
          <w:sz w:val="21"/>
          <w:szCs w:val="21"/>
        </w:rPr>
        <w:t>Rstudio</w:t>
      </w:r>
      <w:proofErr w:type="spellEnd"/>
      <w:r>
        <w:rPr>
          <w:rFonts w:ascii="Century Gothic" w:eastAsia="Times New Roman" w:hAnsi="Century Gothic" w:cs="Times New Roman"/>
          <w:color w:val="6E6E7C"/>
          <w:sz w:val="21"/>
          <w:szCs w:val="21"/>
        </w:rPr>
        <w:t>.</w:t>
      </w:r>
    </w:p>
    <w:p w14:paraId="5EE7A5CF" w14:textId="77777777" w:rsidR="007F3850" w:rsidRPr="00582936" w:rsidRDefault="007F3850" w:rsidP="00E5524A">
      <w:pPr>
        <w:numPr>
          <w:ilvl w:val="0"/>
          <w:numId w:val="26"/>
        </w:numPr>
        <w:spacing w:after="200" w:line="276" w:lineRule="auto"/>
        <w:ind w:left="1134" w:hanging="426"/>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lastRenderedPageBreak/>
        <w:t xml:space="preserve">Asignación del tipo de error en base a </w:t>
      </w:r>
      <w:r w:rsidR="00393943">
        <w:rPr>
          <w:rFonts w:ascii="Century Gothic" w:eastAsia="Times New Roman" w:hAnsi="Century Gothic" w:cs="Times New Roman"/>
          <w:color w:val="6E6E7C"/>
          <w:sz w:val="21"/>
          <w:szCs w:val="21"/>
        </w:rPr>
        <w:t>una</w:t>
      </w:r>
      <w:r w:rsidRPr="00582936">
        <w:rPr>
          <w:rFonts w:ascii="Century Gothic" w:eastAsia="Times New Roman" w:hAnsi="Century Gothic" w:cs="Times New Roman"/>
          <w:color w:val="6E6E7C"/>
          <w:sz w:val="21"/>
          <w:szCs w:val="21"/>
        </w:rPr>
        <w:t xml:space="preserve"> clasificación establecida:</w:t>
      </w:r>
    </w:p>
    <w:tbl>
      <w:tblPr>
        <w:tblStyle w:val="TableNormal1"/>
        <w:tblpPr w:leftFromText="141" w:rightFromText="141" w:vertAnchor="text" w:horzAnchor="page" w:tblpX="2251" w:tblpY="29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8"/>
        <w:gridCol w:w="6087"/>
      </w:tblGrid>
      <w:tr w:rsidR="00CF3585" w:rsidRPr="00582936" w14:paraId="7F45B79B" w14:textId="77777777" w:rsidTr="00460317">
        <w:trPr>
          <w:trHeight w:val="158"/>
        </w:trPr>
        <w:tc>
          <w:tcPr>
            <w:tcW w:w="1358" w:type="dxa"/>
            <w:shd w:val="clear" w:color="auto" w:fill="4266CE"/>
            <w:vAlign w:val="center"/>
          </w:tcPr>
          <w:p w14:paraId="77D0E40A" w14:textId="77777777" w:rsidR="00CF3585" w:rsidRPr="00460317" w:rsidRDefault="00CF3585" w:rsidP="00460317">
            <w:pPr>
              <w:pStyle w:val="TableParagraph"/>
              <w:spacing w:before="3" w:line="248" w:lineRule="exact"/>
              <w:ind w:left="103" w:right="90"/>
              <w:rPr>
                <w:rFonts w:ascii="Century Gothic" w:eastAsia="Times New Roman" w:hAnsi="Century Gothic" w:cs="Times New Roman"/>
                <w:b/>
                <w:color w:val="FFFFFF" w:themeColor="background1"/>
                <w:sz w:val="16"/>
                <w:szCs w:val="16"/>
                <w:lang w:val="es-EC"/>
              </w:rPr>
            </w:pPr>
            <w:bookmarkStart w:id="275" w:name="_Toc157006971"/>
            <w:bookmarkStart w:id="276" w:name="_Toc157368487"/>
            <w:bookmarkStart w:id="277" w:name="_Toc157585783"/>
            <w:bookmarkStart w:id="278" w:name="_Toc157671120"/>
            <w:bookmarkStart w:id="279" w:name="_Toc158206886"/>
            <w:proofErr w:type="spellStart"/>
            <w:r w:rsidRPr="00460317">
              <w:rPr>
                <w:rFonts w:ascii="Century Gothic" w:eastAsia="Times New Roman" w:hAnsi="Century Gothic" w:cs="Times New Roman"/>
                <w:b/>
                <w:color w:val="FFFFFF" w:themeColor="background1"/>
                <w:sz w:val="16"/>
                <w:szCs w:val="16"/>
                <w:lang w:val="es-EC"/>
              </w:rPr>
              <w:t>Cod_val</w:t>
            </w:r>
            <w:proofErr w:type="spellEnd"/>
          </w:p>
        </w:tc>
        <w:tc>
          <w:tcPr>
            <w:tcW w:w="6087" w:type="dxa"/>
            <w:shd w:val="clear" w:color="auto" w:fill="4266CE"/>
            <w:vAlign w:val="center"/>
          </w:tcPr>
          <w:p w14:paraId="23C95EC7" w14:textId="77777777" w:rsidR="00CF3585" w:rsidRPr="00460317" w:rsidRDefault="00CF3585" w:rsidP="00460317">
            <w:pPr>
              <w:pStyle w:val="TableParagraph"/>
              <w:spacing w:before="3" w:line="248" w:lineRule="exact"/>
              <w:ind w:left="1923" w:right="1908"/>
              <w:rPr>
                <w:rFonts w:ascii="Century Gothic" w:eastAsia="Times New Roman" w:hAnsi="Century Gothic" w:cs="Times New Roman"/>
                <w:b/>
                <w:color w:val="FFFFFF" w:themeColor="background1"/>
                <w:sz w:val="16"/>
                <w:szCs w:val="16"/>
                <w:lang w:val="es-EC"/>
              </w:rPr>
            </w:pPr>
            <w:r w:rsidRPr="00460317">
              <w:rPr>
                <w:rFonts w:ascii="Century Gothic" w:eastAsia="Times New Roman" w:hAnsi="Century Gothic" w:cs="Times New Roman"/>
                <w:b/>
                <w:color w:val="FFFFFF" w:themeColor="background1"/>
                <w:sz w:val="16"/>
                <w:szCs w:val="16"/>
                <w:lang w:val="es-EC"/>
              </w:rPr>
              <w:t>Escenarios</w:t>
            </w:r>
          </w:p>
        </w:tc>
      </w:tr>
      <w:tr w:rsidR="00CF3585" w:rsidRPr="00582936" w14:paraId="1933FE7D" w14:textId="77777777" w:rsidTr="00CF3585">
        <w:trPr>
          <w:trHeight w:val="300"/>
        </w:trPr>
        <w:tc>
          <w:tcPr>
            <w:tcW w:w="1358" w:type="dxa"/>
          </w:tcPr>
          <w:p w14:paraId="30A1A1CE" w14:textId="77777777" w:rsidR="00CF3585" w:rsidRPr="00582936" w:rsidRDefault="00CF3585" w:rsidP="00CF3585">
            <w:pPr>
              <w:pStyle w:val="TableParagraph"/>
              <w:spacing w:before="132"/>
              <w:ind w:left="13"/>
              <w:rPr>
                <w:rFonts w:ascii="Century Gothic" w:eastAsia="Times New Roman" w:hAnsi="Century Gothic" w:cs="Times New Roman"/>
                <w:color w:val="6E6E7C"/>
                <w:sz w:val="16"/>
                <w:szCs w:val="16"/>
                <w:lang w:val="es-EC"/>
              </w:rPr>
            </w:pPr>
            <w:r w:rsidRPr="00582936">
              <w:rPr>
                <w:rFonts w:ascii="Century Gothic" w:eastAsia="Times New Roman" w:hAnsi="Century Gothic" w:cs="Times New Roman"/>
                <w:color w:val="6E6E7C"/>
                <w:sz w:val="16"/>
                <w:szCs w:val="16"/>
                <w:lang w:val="es-EC"/>
              </w:rPr>
              <w:t>1</w:t>
            </w:r>
          </w:p>
        </w:tc>
        <w:tc>
          <w:tcPr>
            <w:tcW w:w="6087" w:type="dxa"/>
          </w:tcPr>
          <w:p w14:paraId="43C93646" w14:textId="77777777" w:rsidR="00CF3585" w:rsidRPr="00582936" w:rsidRDefault="00CF3585" w:rsidP="00CF3585">
            <w:pPr>
              <w:pStyle w:val="TableParagraph"/>
              <w:spacing w:line="250" w:lineRule="atLeast"/>
              <w:ind w:left="107"/>
              <w:jc w:val="left"/>
              <w:rPr>
                <w:rFonts w:ascii="Century Gothic" w:eastAsia="Times New Roman" w:hAnsi="Century Gothic" w:cs="Times New Roman"/>
                <w:color w:val="6E6E7C"/>
                <w:sz w:val="16"/>
                <w:szCs w:val="16"/>
                <w:lang w:val="es-EC"/>
              </w:rPr>
            </w:pPr>
            <w:r>
              <w:rPr>
                <w:rFonts w:ascii="Century Gothic" w:eastAsia="Times New Roman" w:hAnsi="Century Gothic" w:cs="Times New Roman"/>
                <w:color w:val="6E6E7C"/>
                <w:sz w:val="16"/>
                <w:szCs w:val="16"/>
                <w:lang w:val="es-EC"/>
              </w:rPr>
              <w:t>L</w:t>
            </w:r>
            <w:r w:rsidRPr="00582936">
              <w:rPr>
                <w:rFonts w:ascii="Century Gothic" w:eastAsia="Times New Roman" w:hAnsi="Century Gothic" w:cs="Times New Roman"/>
                <w:color w:val="6E6E7C"/>
                <w:sz w:val="16"/>
                <w:szCs w:val="16"/>
                <w:lang w:val="es-EC"/>
              </w:rPr>
              <w:t>a inconsistencia debe ser corregida dentro del aplicativo INFOCAPT.</w:t>
            </w:r>
          </w:p>
        </w:tc>
      </w:tr>
      <w:tr w:rsidR="00CF3585" w:rsidRPr="00582936" w14:paraId="0DD5C96B" w14:textId="77777777" w:rsidTr="00CF3585">
        <w:trPr>
          <w:trHeight w:val="454"/>
        </w:trPr>
        <w:tc>
          <w:tcPr>
            <w:tcW w:w="1358" w:type="dxa"/>
          </w:tcPr>
          <w:p w14:paraId="7AB6B9D4" w14:textId="77777777" w:rsidR="00CF3585" w:rsidRPr="00582936" w:rsidRDefault="00CF3585" w:rsidP="00CF3585">
            <w:pPr>
              <w:pStyle w:val="TableParagraph"/>
              <w:spacing w:before="6"/>
              <w:ind w:left="0"/>
              <w:jc w:val="left"/>
              <w:rPr>
                <w:rFonts w:ascii="Century Gothic" w:eastAsia="Times New Roman" w:hAnsi="Century Gothic" w:cs="Times New Roman"/>
                <w:color w:val="6E6E7C"/>
                <w:sz w:val="16"/>
                <w:szCs w:val="16"/>
                <w:lang w:val="es-EC"/>
              </w:rPr>
            </w:pPr>
          </w:p>
          <w:p w14:paraId="4F03F19A" w14:textId="77777777" w:rsidR="00CF3585" w:rsidRPr="00582936" w:rsidRDefault="00CF3585" w:rsidP="00CF3585">
            <w:pPr>
              <w:pStyle w:val="TableParagraph"/>
              <w:ind w:left="13"/>
              <w:rPr>
                <w:rFonts w:ascii="Century Gothic" w:eastAsia="Times New Roman" w:hAnsi="Century Gothic" w:cs="Times New Roman"/>
                <w:color w:val="6E6E7C"/>
                <w:sz w:val="16"/>
                <w:szCs w:val="16"/>
                <w:lang w:val="es-EC"/>
              </w:rPr>
            </w:pPr>
            <w:r w:rsidRPr="00582936">
              <w:rPr>
                <w:rFonts w:ascii="Century Gothic" w:eastAsia="Times New Roman" w:hAnsi="Century Gothic" w:cs="Times New Roman"/>
                <w:color w:val="6E6E7C"/>
                <w:sz w:val="16"/>
                <w:szCs w:val="16"/>
                <w:lang w:val="es-EC"/>
              </w:rPr>
              <w:t>2</w:t>
            </w:r>
          </w:p>
        </w:tc>
        <w:tc>
          <w:tcPr>
            <w:tcW w:w="6087" w:type="dxa"/>
          </w:tcPr>
          <w:p w14:paraId="655876E3" w14:textId="77777777" w:rsidR="00CF3585" w:rsidRPr="00582936" w:rsidRDefault="00CF3585" w:rsidP="00CF3585">
            <w:pPr>
              <w:pStyle w:val="TableParagraph"/>
              <w:spacing w:line="250" w:lineRule="atLeast"/>
              <w:ind w:left="107" w:right="93"/>
              <w:jc w:val="both"/>
              <w:rPr>
                <w:rFonts w:ascii="Century Gothic" w:eastAsia="Times New Roman" w:hAnsi="Century Gothic" w:cs="Times New Roman"/>
                <w:color w:val="6E6E7C"/>
                <w:sz w:val="16"/>
                <w:szCs w:val="16"/>
                <w:lang w:val="es-EC"/>
              </w:rPr>
            </w:pPr>
            <w:r>
              <w:rPr>
                <w:rFonts w:ascii="Century Gothic" w:eastAsia="Times New Roman" w:hAnsi="Century Gothic" w:cs="Times New Roman"/>
                <w:color w:val="6E6E7C"/>
                <w:sz w:val="16"/>
                <w:szCs w:val="16"/>
                <w:lang w:val="es-EC"/>
              </w:rPr>
              <w:t>L</w:t>
            </w:r>
            <w:r w:rsidRPr="00582936">
              <w:rPr>
                <w:rFonts w:ascii="Century Gothic" w:eastAsia="Times New Roman" w:hAnsi="Century Gothic" w:cs="Times New Roman"/>
                <w:color w:val="6E6E7C"/>
                <w:sz w:val="16"/>
                <w:szCs w:val="16"/>
                <w:lang w:val="es-EC"/>
              </w:rPr>
              <w:t>a inconsist</w:t>
            </w:r>
            <w:r>
              <w:rPr>
                <w:rFonts w:ascii="Century Gothic" w:eastAsia="Times New Roman" w:hAnsi="Century Gothic" w:cs="Times New Roman"/>
                <w:color w:val="6E6E7C"/>
                <w:sz w:val="16"/>
                <w:szCs w:val="16"/>
                <w:lang w:val="es-EC"/>
              </w:rPr>
              <w:t>encia no debe ser corregida; se encuentra justificada.</w:t>
            </w:r>
          </w:p>
        </w:tc>
      </w:tr>
    </w:tbl>
    <w:p w14:paraId="5D9CD760" w14:textId="77777777" w:rsidR="00795476" w:rsidRPr="00582936" w:rsidRDefault="00795476" w:rsidP="00CF3585">
      <w:pPr>
        <w:pStyle w:val="Descripcin"/>
        <w:keepNext/>
        <w:jc w:val="center"/>
        <w:rPr>
          <w:rFonts w:ascii="Century Gothic" w:eastAsia="Times New Roman" w:hAnsi="Century Gothic" w:cs="Times New Roman"/>
          <w:b w:val="0"/>
          <w:bCs w:val="0"/>
          <w:color w:val="6E6E7C"/>
        </w:rPr>
      </w:pPr>
      <w:bookmarkStart w:id="280" w:name="_Toc161322602"/>
      <w:r w:rsidRPr="00582936">
        <w:rPr>
          <w:rFonts w:ascii="Century Gothic" w:eastAsia="Times New Roman" w:hAnsi="Century Gothic" w:cs="Times New Roman"/>
          <w:bCs w:val="0"/>
          <w:color w:val="6E6E7C"/>
        </w:rPr>
        <w:t xml:space="preserve">Tabla </w:t>
      </w:r>
      <w:r w:rsidRPr="00582936">
        <w:rPr>
          <w:rFonts w:ascii="Century Gothic" w:eastAsia="Times New Roman" w:hAnsi="Century Gothic" w:cs="Times New Roman"/>
          <w:bCs w:val="0"/>
          <w:color w:val="6E6E7C"/>
        </w:rPr>
        <w:fldChar w:fldCharType="begin"/>
      </w:r>
      <w:r w:rsidRPr="00582936">
        <w:rPr>
          <w:rFonts w:ascii="Century Gothic" w:eastAsia="Times New Roman" w:hAnsi="Century Gothic" w:cs="Times New Roman"/>
          <w:bCs w:val="0"/>
          <w:color w:val="6E6E7C"/>
        </w:rPr>
        <w:instrText xml:space="preserve"> SEQ Tabla \* ARABIC </w:instrText>
      </w:r>
      <w:r w:rsidRPr="00582936">
        <w:rPr>
          <w:rFonts w:ascii="Century Gothic" w:eastAsia="Times New Roman" w:hAnsi="Century Gothic" w:cs="Times New Roman"/>
          <w:bCs w:val="0"/>
          <w:color w:val="6E6E7C"/>
        </w:rPr>
        <w:fldChar w:fldCharType="separate"/>
      </w:r>
      <w:r w:rsidR="00CF3585">
        <w:rPr>
          <w:rFonts w:ascii="Century Gothic" w:eastAsia="Times New Roman" w:hAnsi="Century Gothic" w:cs="Times New Roman"/>
          <w:bCs w:val="0"/>
          <w:noProof/>
          <w:color w:val="6E6E7C"/>
        </w:rPr>
        <w:t>8</w:t>
      </w:r>
      <w:r w:rsidRPr="00582936">
        <w:rPr>
          <w:rFonts w:ascii="Century Gothic" w:eastAsia="Times New Roman" w:hAnsi="Century Gothic" w:cs="Times New Roman"/>
          <w:bCs w:val="0"/>
          <w:color w:val="6E6E7C"/>
        </w:rPr>
        <w:fldChar w:fldCharType="end"/>
      </w:r>
      <w:r w:rsidRPr="00582936">
        <w:rPr>
          <w:rFonts w:ascii="Century Gothic" w:eastAsia="Times New Roman" w:hAnsi="Century Gothic" w:cs="Times New Roman"/>
          <w:bCs w:val="0"/>
          <w:color w:val="6E6E7C"/>
        </w:rPr>
        <w:t>.</w:t>
      </w:r>
      <w:r w:rsidRPr="00582936">
        <w:rPr>
          <w:rFonts w:ascii="Century Gothic" w:eastAsia="Times New Roman" w:hAnsi="Century Gothic" w:cs="Times New Roman"/>
          <w:b w:val="0"/>
          <w:bCs w:val="0"/>
          <w:color w:val="6E6E7C"/>
        </w:rPr>
        <w:t xml:space="preserve"> Asignación del tipo de error</w:t>
      </w:r>
      <w:bookmarkEnd w:id="275"/>
      <w:bookmarkEnd w:id="276"/>
      <w:bookmarkEnd w:id="277"/>
      <w:bookmarkEnd w:id="278"/>
      <w:bookmarkEnd w:id="279"/>
      <w:bookmarkEnd w:id="280"/>
    </w:p>
    <w:p w14:paraId="64FF5EFB" w14:textId="77777777" w:rsidR="007F3850" w:rsidRPr="00582936" w:rsidRDefault="007F3850" w:rsidP="007F3850">
      <w:pPr>
        <w:spacing w:after="200" w:line="276" w:lineRule="auto"/>
        <w:contextualSpacing/>
        <w:jc w:val="both"/>
        <w:rPr>
          <w:rFonts w:ascii="Century Gothic" w:eastAsia="Times New Roman" w:hAnsi="Century Gothic" w:cs="Times New Roman"/>
          <w:color w:val="6E6E7C"/>
          <w:sz w:val="21"/>
          <w:szCs w:val="21"/>
        </w:rPr>
      </w:pPr>
    </w:p>
    <w:p w14:paraId="33EBAC9C" w14:textId="77777777" w:rsidR="007F3850" w:rsidRPr="00582936" w:rsidRDefault="007F3850" w:rsidP="007F3850">
      <w:pPr>
        <w:spacing w:after="200" w:line="276" w:lineRule="auto"/>
        <w:contextualSpacing/>
        <w:jc w:val="both"/>
        <w:rPr>
          <w:rFonts w:ascii="Century Gothic" w:eastAsia="Times New Roman" w:hAnsi="Century Gothic" w:cs="Times New Roman"/>
          <w:color w:val="6E6E7C"/>
          <w:sz w:val="21"/>
          <w:szCs w:val="21"/>
        </w:rPr>
      </w:pPr>
    </w:p>
    <w:p w14:paraId="7349A5F3" w14:textId="77777777" w:rsidR="007F3850" w:rsidRPr="00582936" w:rsidRDefault="007F3850" w:rsidP="007F3850">
      <w:pPr>
        <w:spacing w:after="200" w:line="276" w:lineRule="auto"/>
        <w:contextualSpacing/>
        <w:jc w:val="both"/>
        <w:rPr>
          <w:rFonts w:ascii="Century Gothic" w:eastAsia="Times New Roman" w:hAnsi="Century Gothic" w:cs="Times New Roman"/>
          <w:color w:val="6E6E7C"/>
          <w:sz w:val="21"/>
          <w:szCs w:val="21"/>
        </w:rPr>
      </w:pPr>
    </w:p>
    <w:p w14:paraId="6B704DD7" w14:textId="77777777" w:rsidR="007F3850" w:rsidRPr="00582936" w:rsidRDefault="007F3850" w:rsidP="007F3850">
      <w:pPr>
        <w:spacing w:line="276" w:lineRule="auto"/>
        <w:ind w:left="426"/>
        <w:jc w:val="both"/>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 xml:space="preserve">Fuente: </w:t>
      </w:r>
      <w:r w:rsidRPr="00582936">
        <w:rPr>
          <w:rFonts w:ascii="Century Gothic" w:eastAsia="Calibri" w:hAnsi="Century Gothic" w:cs="Calibri"/>
          <w:iCs/>
          <w:color w:val="6E6E7C"/>
          <w:sz w:val="16"/>
          <w:szCs w:val="16"/>
        </w:rPr>
        <w:t>Proceso de validación de la Encuesta Estructural.</w:t>
      </w:r>
    </w:p>
    <w:p w14:paraId="4E6726F8" w14:textId="77777777" w:rsidR="007F3850" w:rsidRPr="00582936" w:rsidRDefault="007F3850" w:rsidP="007F3850">
      <w:pPr>
        <w:spacing w:after="200" w:line="276" w:lineRule="auto"/>
        <w:ind w:left="426" w:right="4"/>
        <w:contextualSpacing/>
        <w:rPr>
          <w:rFonts w:ascii="Century Gothic" w:eastAsia="Calibri" w:hAnsi="Century Gothic" w:cs="Times New Roman"/>
          <w:iCs/>
          <w:color w:val="6E6E7C"/>
          <w:sz w:val="16"/>
          <w:szCs w:val="16"/>
          <w:lang w:eastAsia="es-EC"/>
        </w:rPr>
      </w:pPr>
      <w:r w:rsidRPr="00582936">
        <w:rPr>
          <w:rFonts w:ascii="Century Gothic" w:eastAsia="Calibri" w:hAnsi="Century Gothic" w:cs="Calibri"/>
          <w:b/>
          <w:iCs/>
          <w:color w:val="6E6E7C"/>
          <w:sz w:val="16"/>
          <w:szCs w:val="16"/>
        </w:rPr>
        <w:t>Elaboración:</w:t>
      </w:r>
      <w:r w:rsidRPr="00582936">
        <w:rPr>
          <w:rFonts w:ascii="Century Gothic" w:eastAsia="Calibri" w:hAnsi="Century Gothic" w:cs="Calibri"/>
          <w:iCs/>
          <w:color w:val="6E6E7C"/>
          <w:sz w:val="16"/>
          <w:szCs w:val="16"/>
        </w:rPr>
        <w:t xml:space="preserve"> Gestión de Estadísticas Estructurales (GESE).</w:t>
      </w:r>
    </w:p>
    <w:p w14:paraId="664EC74A" w14:textId="77777777" w:rsidR="007F3850" w:rsidRPr="00582936" w:rsidRDefault="007F3850" w:rsidP="007F3850">
      <w:pPr>
        <w:spacing w:after="200" w:line="276" w:lineRule="auto"/>
        <w:contextualSpacing/>
        <w:jc w:val="both"/>
        <w:rPr>
          <w:rFonts w:ascii="Century Gothic" w:eastAsia="Times New Roman" w:hAnsi="Century Gothic" w:cs="Times New Roman"/>
          <w:color w:val="6E6E7C"/>
          <w:sz w:val="21"/>
          <w:szCs w:val="21"/>
        </w:rPr>
      </w:pPr>
    </w:p>
    <w:p w14:paraId="774061DB" w14:textId="77777777" w:rsidR="00DD5852" w:rsidRPr="00582936" w:rsidRDefault="007F3850" w:rsidP="00E5524A">
      <w:pPr>
        <w:numPr>
          <w:ilvl w:val="0"/>
          <w:numId w:val="26"/>
        </w:numPr>
        <w:spacing w:after="200" w:line="276" w:lineRule="auto"/>
        <w:ind w:left="1134" w:hanging="426"/>
        <w:contextualSpacing/>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Generación</w:t>
      </w:r>
      <w:r w:rsidR="00DD5852" w:rsidRPr="00582936">
        <w:rPr>
          <w:rFonts w:ascii="Century Gothic" w:eastAsia="Times New Roman" w:hAnsi="Century Gothic" w:cs="Times New Roman"/>
          <w:color w:val="6E6E7C"/>
          <w:sz w:val="21"/>
          <w:szCs w:val="21"/>
        </w:rPr>
        <w:t xml:space="preserve"> de justificaciones en los casos en </w:t>
      </w:r>
      <w:r w:rsidR="00B90D15" w:rsidRPr="00582936">
        <w:rPr>
          <w:rFonts w:ascii="Century Gothic" w:eastAsia="Times New Roman" w:hAnsi="Century Gothic" w:cs="Times New Roman"/>
          <w:color w:val="6E6E7C"/>
          <w:sz w:val="21"/>
          <w:szCs w:val="21"/>
        </w:rPr>
        <w:t>los que se</w:t>
      </w:r>
      <w:r w:rsidRPr="00582936">
        <w:rPr>
          <w:rFonts w:ascii="Century Gothic" w:eastAsia="Times New Roman" w:hAnsi="Century Gothic" w:cs="Times New Roman"/>
          <w:color w:val="6E6E7C"/>
          <w:sz w:val="21"/>
          <w:szCs w:val="21"/>
        </w:rPr>
        <w:t xml:space="preserve"> colocó código 2 </w:t>
      </w:r>
      <w:r w:rsidR="004F05B9">
        <w:rPr>
          <w:rFonts w:ascii="Century Gothic" w:eastAsia="Times New Roman" w:hAnsi="Century Gothic" w:cs="Times New Roman"/>
          <w:color w:val="6E6E7C"/>
          <w:sz w:val="21"/>
          <w:szCs w:val="21"/>
        </w:rPr>
        <w:t>en de la matriz de validación;</w:t>
      </w:r>
      <w:r w:rsidRPr="00582936">
        <w:rPr>
          <w:rFonts w:ascii="Century Gothic" w:eastAsia="Times New Roman" w:hAnsi="Century Gothic" w:cs="Times New Roman"/>
          <w:color w:val="6E6E7C"/>
          <w:sz w:val="21"/>
          <w:szCs w:val="21"/>
        </w:rPr>
        <w:t xml:space="preserve"> pese a </w:t>
      </w:r>
      <w:r w:rsidR="00DD5852" w:rsidRPr="00582936">
        <w:rPr>
          <w:rFonts w:ascii="Century Gothic" w:eastAsia="Times New Roman" w:hAnsi="Century Gothic" w:cs="Times New Roman"/>
          <w:color w:val="6E6E7C"/>
          <w:sz w:val="21"/>
          <w:szCs w:val="21"/>
        </w:rPr>
        <w:t>que no se cumple la mall</w:t>
      </w:r>
      <w:r w:rsidRPr="00582936">
        <w:rPr>
          <w:rFonts w:ascii="Century Gothic" w:eastAsia="Times New Roman" w:hAnsi="Century Gothic" w:cs="Times New Roman"/>
          <w:color w:val="6E6E7C"/>
          <w:sz w:val="21"/>
          <w:szCs w:val="21"/>
        </w:rPr>
        <w:t xml:space="preserve">a de validación de la encuesta, </w:t>
      </w:r>
      <w:r w:rsidR="00DD5852" w:rsidRPr="00582936">
        <w:rPr>
          <w:rFonts w:ascii="Century Gothic" w:eastAsia="Times New Roman" w:hAnsi="Century Gothic" w:cs="Times New Roman"/>
          <w:color w:val="6E6E7C"/>
          <w:sz w:val="21"/>
          <w:szCs w:val="21"/>
        </w:rPr>
        <w:t>la información registrada se encuentra correcta</w:t>
      </w:r>
      <w:r w:rsidR="00BC68F4">
        <w:rPr>
          <w:rFonts w:ascii="Century Gothic" w:eastAsia="Times New Roman" w:hAnsi="Century Gothic" w:cs="Times New Roman"/>
          <w:color w:val="6E6E7C"/>
          <w:sz w:val="21"/>
          <w:szCs w:val="21"/>
        </w:rPr>
        <w:t xml:space="preserve"> y cuenta con la justificación correspondiente</w:t>
      </w:r>
      <w:r w:rsidR="004F05B9">
        <w:rPr>
          <w:rFonts w:ascii="Century Gothic" w:eastAsia="Times New Roman" w:hAnsi="Century Gothic" w:cs="Times New Roman"/>
          <w:color w:val="6E6E7C"/>
          <w:sz w:val="21"/>
          <w:szCs w:val="21"/>
        </w:rPr>
        <w:t>; es decir, obedece</w:t>
      </w:r>
      <w:r w:rsidR="00DD5852" w:rsidRPr="00582936">
        <w:rPr>
          <w:rFonts w:ascii="Century Gothic" w:eastAsia="Times New Roman" w:hAnsi="Century Gothic" w:cs="Times New Roman"/>
          <w:color w:val="6E6E7C"/>
          <w:sz w:val="21"/>
          <w:szCs w:val="21"/>
        </w:rPr>
        <w:t xml:space="preserve"> a la realidad de cada empresa. </w:t>
      </w:r>
    </w:p>
    <w:p w14:paraId="7BF7180C" w14:textId="77777777" w:rsidR="00DD5852" w:rsidRPr="00582936" w:rsidRDefault="00393943" w:rsidP="00E5524A">
      <w:pPr>
        <w:numPr>
          <w:ilvl w:val="0"/>
          <w:numId w:val="26"/>
        </w:numPr>
        <w:spacing w:before="240" w:after="200" w:line="276" w:lineRule="auto"/>
        <w:ind w:left="1134"/>
        <w:contextualSpacing/>
        <w:jc w:val="both"/>
        <w:rPr>
          <w:rFonts w:ascii="Century Gothic" w:eastAsia="Times New Roman" w:hAnsi="Century Gothic" w:cs="Times New Roman"/>
          <w:color w:val="6E6E7C"/>
          <w:sz w:val="21"/>
          <w:szCs w:val="21"/>
        </w:rPr>
      </w:pPr>
      <w:r>
        <w:rPr>
          <w:rFonts w:ascii="Century Gothic" w:eastAsia="Times New Roman" w:hAnsi="Century Gothic" w:cs="Times New Roman"/>
          <w:color w:val="6E6E7C"/>
          <w:sz w:val="21"/>
          <w:szCs w:val="21"/>
        </w:rPr>
        <w:t>La s</w:t>
      </w:r>
      <w:r w:rsidR="007F3850" w:rsidRPr="00582936">
        <w:rPr>
          <w:rFonts w:ascii="Century Gothic" w:eastAsia="Times New Roman" w:hAnsi="Century Gothic" w:cs="Times New Roman"/>
          <w:color w:val="6E6E7C"/>
          <w:sz w:val="21"/>
          <w:szCs w:val="21"/>
        </w:rPr>
        <w:t xml:space="preserve">elección de </w:t>
      </w:r>
      <w:r>
        <w:rPr>
          <w:rFonts w:ascii="Century Gothic" w:eastAsia="Times New Roman" w:hAnsi="Century Gothic" w:cs="Times New Roman"/>
          <w:color w:val="6E6E7C"/>
          <w:sz w:val="21"/>
          <w:szCs w:val="21"/>
        </w:rPr>
        <w:t>código 1</w:t>
      </w:r>
      <w:r w:rsidR="007F3850" w:rsidRPr="00582936">
        <w:rPr>
          <w:rFonts w:ascii="Century Gothic" w:eastAsia="Times New Roman" w:hAnsi="Century Gothic" w:cs="Times New Roman"/>
          <w:color w:val="6E6E7C"/>
          <w:sz w:val="21"/>
          <w:szCs w:val="21"/>
        </w:rPr>
        <w:t xml:space="preserve"> dentro de </w:t>
      </w:r>
      <w:r w:rsidR="0074716D">
        <w:rPr>
          <w:rFonts w:ascii="Century Gothic" w:eastAsia="Times New Roman" w:hAnsi="Century Gothic" w:cs="Times New Roman"/>
          <w:color w:val="6E6E7C"/>
          <w:sz w:val="21"/>
          <w:szCs w:val="21"/>
        </w:rPr>
        <w:t xml:space="preserve">la </w:t>
      </w:r>
      <w:r w:rsidR="007F3850" w:rsidRPr="00582936">
        <w:rPr>
          <w:rFonts w:ascii="Century Gothic" w:eastAsia="Times New Roman" w:hAnsi="Century Gothic" w:cs="Times New Roman"/>
          <w:color w:val="6E6E7C"/>
          <w:sz w:val="21"/>
          <w:szCs w:val="21"/>
        </w:rPr>
        <w:t>matriz</w:t>
      </w:r>
      <w:r>
        <w:rPr>
          <w:rFonts w:ascii="Century Gothic" w:eastAsia="Times New Roman" w:hAnsi="Century Gothic" w:cs="Times New Roman"/>
          <w:color w:val="6E6E7C"/>
          <w:sz w:val="21"/>
          <w:szCs w:val="21"/>
        </w:rPr>
        <w:t>; hace referencia a un ajuste obligatorio dentro del</w:t>
      </w:r>
      <w:r w:rsidR="00DD5852" w:rsidRPr="00582936">
        <w:rPr>
          <w:rFonts w:ascii="Century Gothic" w:eastAsia="Times New Roman" w:hAnsi="Century Gothic" w:cs="Times New Roman"/>
          <w:color w:val="6E6E7C"/>
          <w:sz w:val="21"/>
          <w:szCs w:val="21"/>
        </w:rPr>
        <w:t xml:space="preserve"> aplicativo web</w:t>
      </w:r>
      <w:r>
        <w:rPr>
          <w:rFonts w:ascii="Century Gothic" w:eastAsia="Times New Roman" w:hAnsi="Century Gothic" w:cs="Times New Roman"/>
          <w:color w:val="6E6E7C"/>
          <w:sz w:val="21"/>
          <w:szCs w:val="21"/>
        </w:rPr>
        <w:t xml:space="preserve"> INFOCAPT; pues, </w:t>
      </w:r>
      <w:r w:rsidR="00DD5852" w:rsidRPr="00582936">
        <w:rPr>
          <w:rFonts w:ascii="Century Gothic" w:eastAsia="Times New Roman" w:hAnsi="Century Gothic" w:cs="Times New Roman"/>
          <w:color w:val="6E6E7C"/>
          <w:sz w:val="21"/>
          <w:szCs w:val="21"/>
        </w:rPr>
        <w:t xml:space="preserve">en </w:t>
      </w:r>
      <w:r>
        <w:rPr>
          <w:rFonts w:ascii="Century Gothic" w:eastAsia="Times New Roman" w:hAnsi="Century Gothic" w:cs="Times New Roman"/>
          <w:color w:val="6E6E7C"/>
          <w:sz w:val="21"/>
          <w:szCs w:val="21"/>
        </w:rPr>
        <w:t xml:space="preserve">estos </w:t>
      </w:r>
      <w:r w:rsidR="00DD5852" w:rsidRPr="00582936">
        <w:rPr>
          <w:rFonts w:ascii="Century Gothic" w:eastAsia="Times New Roman" w:hAnsi="Century Gothic" w:cs="Times New Roman"/>
          <w:color w:val="6E6E7C"/>
          <w:sz w:val="21"/>
          <w:szCs w:val="21"/>
        </w:rPr>
        <w:t xml:space="preserve">casos </w:t>
      </w:r>
      <w:r>
        <w:rPr>
          <w:rFonts w:ascii="Century Gothic" w:eastAsia="Times New Roman" w:hAnsi="Century Gothic" w:cs="Times New Roman"/>
          <w:color w:val="6E6E7C"/>
          <w:sz w:val="21"/>
          <w:szCs w:val="21"/>
        </w:rPr>
        <w:t>se verifica y confirma el error con el informante; razón por la cual, debe ser corregido</w:t>
      </w:r>
      <w:r w:rsidR="007F3850" w:rsidRPr="00582936">
        <w:rPr>
          <w:rFonts w:ascii="Century Gothic" w:eastAsia="Times New Roman" w:hAnsi="Century Gothic" w:cs="Times New Roman"/>
          <w:color w:val="6E6E7C"/>
          <w:sz w:val="21"/>
          <w:szCs w:val="21"/>
        </w:rPr>
        <w:t>.</w:t>
      </w:r>
    </w:p>
    <w:p w14:paraId="5162908D" w14:textId="77777777" w:rsidR="00DD5852" w:rsidRPr="00582936" w:rsidRDefault="0074716D" w:rsidP="00E5524A">
      <w:pPr>
        <w:numPr>
          <w:ilvl w:val="0"/>
          <w:numId w:val="26"/>
        </w:numPr>
        <w:spacing w:before="240" w:after="200" w:line="276" w:lineRule="auto"/>
        <w:ind w:left="1134" w:hanging="426"/>
        <w:contextualSpacing/>
        <w:jc w:val="both"/>
        <w:rPr>
          <w:rFonts w:ascii="Century Gothic" w:eastAsia="Times New Roman" w:hAnsi="Century Gothic" w:cs="Times New Roman"/>
          <w:color w:val="6E6E7C"/>
          <w:sz w:val="21"/>
          <w:szCs w:val="21"/>
        </w:rPr>
      </w:pPr>
      <w:r>
        <w:rPr>
          <w:rFonts w:ascii="Century Gothic" w:eastAsia="Times New Roman" w:hAnsi="Century Gothic" w:cs="Times New Roman"/>
          <w:color w:val="6E6E7C"/>
          <w:sz w:val="21"/>
          <w:szCs w:val="21"/>
        </w:rPr>
        <w:t xml:space="preserve">Las Coordinaciones </w:t>
      </w:r>
      <w:r w:rsidR="00DD5852" w:rsidRPr="00582936">
        <w:rPr>
          <w:rFonts w:ascii="Century Gothic" w:eastAsia="Times New Roman" w:hAnsi="Century Gothic" w:cs="Times New Roman"/>
          <w:color w:val="6E6E7C"/>
          <w:sz w:val="21"/>
          <w:szCs w:val="21"/>
        </w:rPr>
        <w:t>Zonales remiten las observaciones de manera semana</w:t>
      </w:r>
      <w:r>
        <w:rPr>
          <w:rFonts w:ascii="Century Gothic" w:eastAsia="Times New Roman" w:hAnsi="Century Gothic" w:cs="Times New Roman"/>
          <w:color w:val="6E6E7C"/>
          <w:sz w:val="21"/>
          <w:szCs w:val="21"/>
        </w:rPr>
        <w:t>l</w:t>
      </w:r>
      <w:r w:rsidR="00DD5852" w:rsidRPr="00582936">
        <w:rPr>
          <w:rFonts w:ascii="Century Gothic" w:eastAsia="Times New Roman" w:hAnsi="Century Gothic" w:cs="Times New Roman"/>
          <w:color w:val="6E6E7C"/>
          <w:sz w:val="21"/>
          <w:szCs w:val="21"/>
        </w:rPr>
        <w:t xml:space="preserve"> a la Oficina Central; </w:t>
      </w:r>
      <w:r w:rsidR="006770AD">
        <w:rPr>
          <w:rFonts w:ascii="Century Gothic" w:eastAsia="Times New Roman" w:hAnsi="Century Gothic" w:cs="Times New Roman"/>
          <w:color w:val="6E6E7C"/>
          <w:sz w:val="21"/>
          <w:szCs w:val="21"/>
        </w:rPr>
        <w:t>con el</w:t>
      </w:r>
      <w:r w:rsidR="00AA1AED">
        <w:rPr>
          <w:rFonts w:ascii="Century Gothic" w:eastAsia="Times New Roman" w:hAnsi="Century Gothic" w:cs="Times New Roman"/>
          <w:color w:val="6E6E7C"/>
          <w:sz w:val="21"/>
          <w:szCs w:val="21"/>
        </w:rPr>
        <w:t xml:space="preserve"> </w:t>
      </w:r>
      <w:r w:rsidR="00DD5852" w:rsidRPr="00582936">
        <w:rPr>
          <w:rFonts w:ascii="Century Gothic" w:eastAsia="Times New Roman" w:hAnsi="Century Gothic" w:cs="Times New Roman"/>
          <w:color w:val="6E6E7C"/>
          <w:sz w:val="21"/>
          <w:szCs w:val="21"/>
        </w:rPr>
        <w:t xml:space="preserve">fin de </w:t>
      </w:r>
      <w:r w:rsidR="00CF3585">
        <w:rPr>
          <w:rFonts w:ascii="Century Gothic" w:eastAsia="Times New Roman" w:hAnsi="Century Gothic" w:cs="Times New Roman"/>
          <w:color w:val="6E6E7C"/>
          <w:sz w:val="21"/>
          <w:szCs w:val="21"/>
        </w:rPr>
        <w:t xml:space="preserve">revisar </w:t>
      </w:r>
      <w:r w:rsidR="00CF3585" w:rsidRPr="00582936">
        <w:rPr>
          <w:rFonts w:ascii="Century Gothic" w:eastAsia="Times New Roman" w:hAnsi="Century Gothic" w:cs="Times New Roman"/>
          <w:color w:val="6E6E7C"/>
          <w:sz w:val="21"/>
          <w:szCs w:val="21"/>
        </w:rPr>
        <w:t>las</w:t>
      </w:r>
      <w:r w:rsidR="00DD5852" w:rsidRPr="00582936">
        <w:rPr>
          <w:rFonts w:ascii="Century Gothic" w:eastAsia="Times New Roman" w:hAnsi="Century Gothic" w:cs="Times New Roman"/>
          <w:color w:val="6E6E7C"/>
          <w:sz w:val="21"/>
          <w:szCs w:val="21"/>
        </w:rPr>
        <w:t xml:space="preserve"> justificaciones planteadas durante las revisiones. </w:t>
      </w:r>
    </w:p>
    <w:p w14:paraId="4D50455E" w14:textId="77777777" w:rsidR="00DD5852" w:rsidRPr="00582936" w:rsidRDefault="00DD5852" w:rsidP="00DD5852">
      <w:pPr>
        <w:rPr>
          <w:rFonts w:ascii="Century Gothic" w:hAnsi="Century Gothic"/>
          <w:color w:val="6E6E7C"/>
        </w:rPr>
      </w:pPr>
    </w:p>
    <w:p w14:paraId="1B820051"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281" w:name="_Toc126658005"/>
      <w:bookmarkStart w:id="282" w:name="_Toc148617358"/>
      <w:bookmarkStart w:id="283" w:name="_Toc161322575"/>
      <w:r w:rsidRPr="00D27640">
        <w:rPr>
          <w:rFonts w:eastAsiaTheme="minorHAnsi" w:cstheme="minorBidi"/>
          <w:bCs/>
          <w:color w:val="6E6E7C"/>
          <w:sz w:val="28"/>
          <w:szCs w:val="44"/>
        </w:rPr>
        <w:t>Edición e imputación</w:t>
      </w:r>
      <w:bookmarkEnd w:id="281"/>
      <w:bookmarkEnd w:id="282"/>
      <w:bookmarkEnd w:id="283"/>
      <w:r w:rsidRPr="00D27640">
        <w:rPr>
          <w:rFonts w:eastAsiaTheme="minorHAnsi" w:cstheme="minorBidi"/>
          <w:bCs/>
          <w:color w:val="6E6E7C"/>
          <w:sz w:val="28"/>
          <w:szCs w:val="44"/>
        </w:rPr>
        <w:t xml:space="preserve"> </w:t>
      </w:r>
    </w:p>
    <w:p w14:paraId="6552DCBE" w14:textId="77777777" w:rsidR="00924439" w:rsidRPr="00582936" w:rsidRDefault="00924439" w:rsidP="00924439">
      <w:pPr>
        <w:spacing w:before="240" w:after="200" w:line="276" w:lineRule="auto"/>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rPr>
        <w:t>La falta de respuesta ocurre cuando la unidad tomada como muestra (empresa) no respondió a todas o a ciertas preguntas del formulario de recolección. Pueden darse casos en los que un encuestado haya respondido a todas las preguntas pero que algunas de las respuestas no sean coherentes, por lo tanto “la presencia de este tipo de falta de respuesta del elemento o de datos inválidos en el conjunto de datos afecta en última instancia a la calidad de los resultados de la encuesta”</w:t>
      </w:r>
      <w:sdt>
        <w:sdtPr>
          <w:rPr>
            <w:rFonts w:ascii="Century Gothic" w:eastAsia="Times New Roman" w:hAnsi="Century Gothic" w:cs="Times New Roman"/>
            <w:color w:val="6E6E7C"/>
            <w:sz w:val="21"/>
            <w:szCs w:val="21"/>
          </w:rPr>
          <w:id w:val="-2063782443"/>
          <w:citation/>
        </w:sdtPr>
        <w:sdtContent>
          <w:r w:rsidRPr="00582936">
            <w:rPr>
              <w:rFonts w:ascii="Century Gothic" w:eastAsia="Times New Roman" w:hAnsi="Century Gothic" w:cs="Times New Roman"/>
              <w:color w:val="6E6E7C"/>
              <w:sz w:val="21"/>
              <w:szCs w:val="21"/>
            </w:rPr>
            <w:fldChar w:fldCharType="begin"/>
          </w:r>
          <w:r w:rsidRPr="00582936">
            <w:rPr>
              <w:rFonts w:ascii="Century Gothic" w:eastAsia="Times New Roman" w:hAnsi="Century Gothic" w:cs="Times New Roman"/>
              <w:color w:val="6E6E7C"/>
              <w:sz w:val="21"/>
              <w:szCs w:val="21"/>
            </w:rPr>
            <w:instrText xml:space="preserve">CITATION Nac08 \l 12298 </w:instrText>
          </w:r>
          <w:r w:rsidRPr="00582936">
            <w:rPr>
              <w:rFonts w:ascii="Century Gothic" w:eastAsia="Times New Roman" w:hAnsi="Century Gothic" w:cs="Times New Roman"/>
              <w:color w:val="6E6E7C"/>
              <w:sz w:val="21"/>
              <w:szCs w:val="21"/>
            </w:rPr>
            <w:fldChar w:fldCharType="separate"/>
          </w:r>
          <w:r w:rsidR="006E6B3C">
            <w:rPr>
              <w:rFonts w:ascii="Century Gothic" w:eastAsia="Times New Roman" w:hAnsi="Century Gothic" w:cs="Times New Roman"/>
              <w:noProof/>
              <w:color w:val="6E6E7C"/>
              <w:sz w:val="21"/>
              <w:szCs w:val="21"/>
            </w:rPr>
            <w:t xml:space="preserve"> </w:t>
          </w:r>
          <w:r w:rsidR="006E6B3C" w:rsidRPr="006E6B3C">
            <w:rPr>
              <w:rFonts w:ascii="Century Gothic" w:eastAsia="Times New Roman" w:hAnsi="Century Gothic" w:cs="Times New Roman"/>
              <w:noProof/>
              <w:color w:val="6E6E7C"/>
              <w:sz w:val="21"/>
              <w:szCs w:val="21"/>
            </w:rPr>
            <w:t>(ONU, 2008 c)</w:t>
          </w:r>
          <w:r w:rsidRPr="00582936">
            <w:rPr>
              <w:rFonts w:ascii="Century Gothic" w:eastAsia="Times New Roman" w:hAnsi="Century Gothic" w:cs="Times New Roman"/>
              <w:color w:val="6E6E7C"/>
              <w:sz w:val="21"/>
              <w:szCs w:val="21"/>
            </w:rPr>
            <w:fldChar w:fldCharType="end"/>
          </w:r>
        </w:sdtContent>
      </w:sdt>
      <w:r w:rsidRPr="00582936">
        <w:rPr>
          <w:rFonts w:ascii="Century Gothic" w:eastAsia="Times New Roman" w:hAnsi="Century Gothic" w:cs="Times New Roman"/>
          <w:color w:val="6E6E7C"/>
          <w:sz w:val="21"/>
          <w:szCs w:val="21"/>
        </w:rPr>
        <w:t>.</w:t>
      </w:r>
    </w:p>
    <w:p w14:paraId="36EB6381" w14:textId="77777777" w:rsidR="00924439" w:rsidRPr="00582936" w:rsidRDefault="00924439" w:rsidP="00924439">
      <w:pPr>
        <w:spacing w:before="240" w:after="200" w:line="276" w:lineRule="auto"/>
        <w:jc w:val="both"/>
        <w:rPr>
          <w:rFonts w:ascii="Century Gothic" w:eastAsia="Times New Roman" w:hAnsi="Century Gothic" w:cs="Times New Roman"/>
          <w:color w:val="6E6E7C"/>
          <w:sz w:val="21"/>
          <w:szCs w:val="21"/>
          <w:lang w:val="es-MX"/>
        </w:rPr>
      </w:pPr>
      <w:r w:rsidRPr="00582936">
        <w:rPr>
          <w:rFonts w:ascii="Century Gothic" w:eastAsia="Times New Roman" w:hAnsi="Century Gothic" w:cs="Times New Roman"/>
          <w:color w:val="6E6E7C"/>
          <w:sz w:val="21"/>
          <w:szCs w:val="21"/>
          <w:lang w:val="es-MX"/>
        </w:rPr>
        <w:t>La presencia de datos faltantes es la situación a la que permanentemente se enfrentan investigadores y tomadores de decisiones, por lo que, la ENESEM realiza un proceso de imputación para datos faltantes completos o parciales, basado en los registros administrativas empresariales e información histórica de la unidad de análisis, para mejorar la calidad y representatividad de los resultados de la encuesta. El uso de esta metodología mitiga la falta de respuesta por parte del informante salvaguardando los resultados de manera confiable y precisa ya que el dato declarativo oficial permite enriquecer y complementar los datos obtenidos por la encuesta</w:t>
      </w:r>
      <w:sdt>
        <w:sdtPr>
          <w:rPr>
            <w:rFonts w:ascii="Century Gothic" w:eastAsia="Times New Roman" w:hAnsi="Century Gothic" w:cs="Times New Roman"/>
            <w:color w:val="6E6E7C"/>
            <w:sz w:val="21"/>
            <w:szCs w:val="21"/>
            <w:lang w:val="es-MX"/>
          </w:rPr>
          <w:id w:val="1403795888"/>
          <w:citation/>
        </w:sdtPr>
        <w:sdtContent>
          <w:r w:rsidRPr="00582936">
            <w:rPr>
              <w:rFonts w:ascii="Century Gothic" w:eastAsia="Times New Roman" w:hAnsi="Century Gothic" w:cs="Times New Roman"/>
              <w:color w:val="6E6E7C"/>
              <w:sz w:val="21"/>
              <w:szCs w:val="21"/>
              <w:lang w:val="es-MX"/>
            </w:rPr>
            <w:fldChar w:fldCharType="begin"/>
          </w:r>
          <w:r w:rsidRPr="00582936">
            <w:rPr>
              <w:rFonts w:ascii="Century Gothic" w:eastAsia="Times New Roman" w:hAnsi="Century Gothic" w:cs="Times New Roman"/>
              <w:color w:val="6E6E7C"/>
              <w:sz w:val="21"/>
              <w:szCs w:val="21"/>
            </w:rPr>
            <w:instrText xml:space="preserve"> CITATION Val18 \l 12298 </w:instrText>
          </w:r>
          <w:r w:rsidRPr="00582936">
            <w:rPr>
              <w:rFonts w:ascii="Century Gothic" w:eastAsia="Times New Roman" w:hAnsi="Century Gothic" w:cs="Times New Roman"/>
              <w:color w:val="6E6E7C"/>
              <w:sz w:val="21"/>
              <w:szCs w:val="21"/>
              <w:lang w:val="es-MX"/>
            </w:rPr>
            <w:fldChar w:fldCharType="separate"/>
          </w:r>
          <w:r w:rsidR="006E6B3C">
            <w:rPr>
              <w:rFonts w:ascii="Century Gothic" w:eastAsia="Times New Roman" w:hAnsi="Century Gothic" w:cs="Times New Roman"/>
              <w:noProof/>
              <w:color w:val="6E6E7C"/>
              <w:sz w:val="21"/>
              <w:szCs w:val="21"/>
            </w:rPr>
            <w:t xml:space="preserve"> </w:t>
          </w:r>
          <w:r w:rsidR="006E6B3C" w:rsidRPr="006E6B3C">
            <w:rPr>
              <w:rFonts w:ascii="Century Gothic" w:eastAsia="Times New Roman" w:hAnsi="Century Gothic" w:cs="Times New Roman"/>
              <w:noProof/>
              <w:color w:val="6E6E7C"/>
              <w:sz w:val="21"/>
              <w:szCs w:val="21"/>
            </w:rPr>
            <w:t>(Valet, Adriaans, &amp; Liebig, 2018)</w:t>
          </w:r>
          <w:r w:rsidRPr="00582936">
            <w:rPr>
              <w:rFonts w:ascii="Century Gothic" w:eastAsia="Times New Roman" w:hAnsi="Century Gothic" w:cs="Times New Roman"/>
              <w:color w:val="6E6E7C"/>
              <w:sz w:val="21"/>
              <w:szCs w:val="21"/>
              <w:lang w:val="es-MX"/>
            </w:rPr>
            <w:fldChar w:fldCharType="end"/>
          </w:r>
        </w:sdtContent>
      </w:sdt>
      <w:r w:rsidRPr="00582936">
        <w:rPr>
          <w:rFonts w:ascii="Century Gothic" w:eastAsia="Times New Roman" w:hAnsi="Century Gothic" w:cs="Times New Roman"/>
          <w:color w:val="6E6E7C"/>
          <w:sz w:val="21"/>
          <w:szCs w:val="21"/>
          <w:lang w:val="es-MX"/>
        </w:rPr>
        <w:t xml:space="preserve">. </w:t>
      </w:r>
    </w:p>
    <w:p w14:paraId="7F5516B7" w14:textId="77777777" w:rsidR="00924439" w:rsidRPr="00582936" w:rsidRDefault="00924439" w:rsidP="00924439">
      <w:pPr>
        <w:spacing w:before="240" w:after="200" w:line="276" w:lineRule="auto"/>
        <w:jc w:val="both"/>
        <w:rPr>
          <w:rFonts w:ascii="Century Gothic" w:eastAsia="Times New Roman" w:hAnsi="Century Gothic" w:cs="Times New Roman"/>
          <w:color w:val="6E6E7C"/>
          <w:sz w:val="21"/>
          <w:szCs w:val="21"/>
          <w:lang w:val="es-MX"/>
        </w:rPr>
      </w:pPr>
      <w:r w:rsidRPr="00582936">
        <w:rPr>
          <w:rFonts w:ascii="Century Gothic" w:eastAsia="Times New Roman" w:hAnsi="Century Gothic" w:cs="Times New Roman"/>
          <w:color w:val="6E6E7C"/>
          <w:sz w:val="21"/>
          <w:szCs w:val="21"/>
          <w:lang w:val="es-MX"/>
        </w:rPr>
        <w:t>En referencia a lo antes expuesto, en la ENESEM se considera los siguientes criterios para elegir un caso de imputación:</w:t>
      </w:r>
    </w:p>
    <w:p w14:paraId="7E5555ED" w14:textId="77777777" w:rsidR="00924439" w:rsidRPr="00582936" w:rsidRDefault="00924439" w:rsidP="00E5524A">
      <w:pPr>
        <w:numPr>
          <w:ilvl w:val="0"/>
          <w:numId w:val="27"/>
        </w:numPr>
        <w:spacing w:after="200" w:line="276" w:lineRule="auto"/>
        <w:jc w:val="both"/>
        <w:rPr>
          <w:rFonts w:ascii="Century Gothic" w:eastAsia="Times New Roman" w:hAnsi="Century Gothic" w:cs="Times New Roman"/>
          <w:color w:val="6E6E7C"/>
          <w:sz w:val="21"/>
          <w:szCs w:val="21"/>
          <w:lang w:val="es-MX"/>
        </w:rPr>
      </w:pPr>
      <w:r w:rsidRPr="00582936">
        <w:rPr>
          <w:rFonts w:ascii="Century Gothic" w:eastAsia="Times New Roman" w:hAnsi="Century Gothic" w:cs="Times New Roman"/>
          <w:color w:val="6E6E7C"/>
          <w:sz w:val="21"/>
          <w:szCs w:val="21"/>
          <w:lang w:val="es-MX"/>
        </w:rPr>
        <w:t xml:space="preserve">La representatividad de las ventas de las empresas en su dominio de estudio.        </w:t>
      </w:r>
    </w:p>
    <w:p w14:paraId="2ACE5139" w14:textId="77777777" w:rsidR="00924439" w:rsidRPr="00582936" w:rsidRDefault="00924439" w:rsidP="00E5524A">
      <w:pPr>
        <w:numPr>
          <w:ilvl w:val="0"/>
          <w:numId w:val="27"/>
        </w:numPr>
        <w:spacing w:after="200" w:line="276" w:lineRule="auto"/>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lang w:val="es-MX"/>
        </w:rPr>
        <w:lastRenderedPageBreak/>
        <w:t>Disponibilidad de los registros administrativos del SRI (ventas, costos y gastos) y del IESS (personal afiliado).</w:t>
      </w:r>
    </w:p>
    <w:p w14:paraId="480EAF61" w14:textId="77777777" w:rsidR="00924439" w:rsidRPr="00582936" w:rsidRDefault="00924439" w:rsidP="00E5524A">
      <w:pPr>
        <w:numPr>
          <w:ilvl w:val="0"/>
          <w:numId w:val="27"/>
        </w:numPr>
        <w:spacing w:after="200" w:line="276" w:lineRule="auto"/>
        <w:jc w:val="both"/>
        <w:rPr>
          <w:rFonts w:ascii="Century Gothic" w:eastAsia="Times New Roman" w:hAnsi="Century Gothic" w:cs="Times New Roman"/>
          <w:color w:val="6E6E7C"/>
          <w:sz w:val="21"/>
          <w:szCs w:val="21"/>
        </w:rPr>
      </w:pPr>
      <w:r w:rsidRPr="00582936">
        <w:rPr>
          <w:rFonts w:ascii="Century Gothic" w:eastAsia="Times New Roman" w:hAnsi="Century Gothic" w:cs="Times New Roman"/>
          <w:color w:val="6E6E7C"/>
          <w:sz w:val="21"/>
          <w:szCs w:val="21"/>
          <w:lang w:val="es-MX"/>
        </w:rPr>
        <w:t>Empresas con información que fue declarada en rondas anteriores de la ENESEM, de preferencia en el año más reciente (2021)</w:t>
      </w:r>
      <w:r w:rsidRPr="00582936">
        <w:rPr>
          <w:rFonts w:ascii="Century Gothic" w:eastAsia="Times New Roman" w:hAnsi="Century Gothic" w:cs="Times New Roman"/>
          <w:iCs/>
          <w:color w:val="6E6E7C"/>
          <w:sz w:val="21"/>
          <w:szCs w:val="21"/>
          <w:vertAlign w:val="superscript"/>
          <w:lang w:val="es-MX"/>
        </w:rPr>
        <w:footnoteReference w:id="14"/>
      </w:r>
      <w:r w:rsidRPr="00582936">
        <w:rPr>
          <w:rFonts w:ascii="Century Gothic" w:eastAsia="Times New Roman" w:hAnsi="Century Gothic" w:cs="Times New Roman"/>
          <w:color w:val="6E6E7C"/>
          <w:sz w:val="21"/>
          <w:szCs w:val="21"/>
          <w:lang w:val="es-MX"/>
        </w:rPr>
        <w:t>; esto para observar la estructura de las sub-cuentas y poder estimar al registro faltante.</w:t>
      </w:r>
    </w:p>
    <w:p w14:paraId="766AF480" w14:textId="77777777" w:rsidR="00924439" w:rsidRPr="00582936" w:rsidRDefault="00924439" w:rsidP="00924439">
      <w:pPr>
        <w:spacing w:before="240" w:after="200" w:line="276" w:lineRule="auto"/>
        <w:jc w:val="both"/>
        <w:rPr>
          <w:rFonts w:ascii="Century Gothic" w:eastAsia="Calibri" w:hAnsi="Century Gothic" w:cs="Times New Roman"/>
          <w:iCs/>
          <w:color w:val="6E6E7C"/>
          <w:sz w:val="21"/>
          <w:szCs w:val="21"/>
          <w:lang w:eastAsia="es-EC"/>
        </w:rPr>
      </w:pPr>
      <w:r w:rsidRPr="00582936">
        <w:rPr>
          <w:rFonts w:ascii="Century Gothic" w:eastAsia="Times New Roman" w:hAnsi="Century Gothic" w:cs="Times New Roman"/>
          <w:color w:val="6E6E7C"/>
          <w:sz w:val="21"/>
          <w:szCs w:val="21"/>
        </w:rPr>
        <w:t xml:space="preserve">El proceso de imputación está basado en el uso de datos duros a través del aprovechamiento de registros administrativos </w:t>
      </w:r>
      <w:sdt>
        <w:sdtPr>
          <w:rPr>
            <w:rFonts w:ascii="Century Gothic" w:eastAsia="Times New Roman" w:hAnsi="Century Gothic" w:cs="Times New Roman"/>
            <w:color w:val="6E6E7C"/>
            <w:sz w:val="21"/>
            <w:szCs w:val="21"/>
          </w:rPr>
          <w:id w:val="-1788575509"/>
          <w:citation/>
        </w:sdtPr>
        <w:sdtContent>
          <w:r w:rsidRPr="00582936">
            <w:rPr>
              <w:rFonts w:ascii="Century Gothic" w:eastAsia="Times New Roman" w:hAnsi="Century Gothic" w:cs="Times New Roman"/>
              <w:color w:val="6E6E7C"/>
              <w:sz w:val="21"/>
              <w:szCs w:val="21"/>
            </w:rPr>
            <w:fldChar w:fldCharType="begin"/>
          </w:r>
          <w:r w:rsidRPr="00582936">
            <w:rPr>
              <w:rFonts w:ascii="Century Gothic" w:eastAsia="Times New Roman" w:hAnsi="Century Gothic" w:cs="Times New Roman"/>
              <w:color w:val="6E6E7C"/>
              <w:sz w:val="21"/>
              <w:szCs w:val="21"/>
              <w:lang w:val="es-ES"/>
            </w:rPr>
            <w:instrText xml:space="preserve">CITATION MarcadorDePosición3 \l 3082 </w:instrText>
          </w:r>
          <w:r w:rsidRPr="00582936">
            <w:rPr>
              <w:rFonts w:ascii="Century Gothic" w:eastAsia="Times New Roman" w:hAnsi="Century Gothic" w:cs="Times New Roman"/>
              <w:color w:val="6E6E7C"/>
              <w:sz w:val="21"/>
              <w:szCs w:val="21"/>
            </w:rPr>
            <w:fldChar w:fldCharType="separate"/>
          </w:r>
          <w:r w:rsidR="006E6B3C" w:rsidRPr="006E6B3C">
            <w:rPr>
              <w:rFonts w:ascii="Century Gothic" w:eastAsia="Times New Roman" w:hAnsi="Century Gothic" w:cs="Times New Roman"/>
              <w:noProof/>
              <w:color w:val="6E6E7C"/>
              <w:sz w:val="21"/>
              <w:szCs w:val="21"/>
              <w:lang w:val="es-ES"/>
            </w:rPr>
            <w:t>(INEGI, 2022)</w:t>
          </w:r>
          <w:r w:rsidRPr="00582936">
            <w:rPr>
              <w:rFonts w:ascii="Century Gothic" w:eastAsia="Times New Roman" w:hAnsi="Century Gothic" w:cs="Times New Roman"/>
              <w:color w:val="6E6E7C"/>
              <w:sz w:val="21"/>
              <w:szCs w:val="21"/>
            </w:rPr>
            <w:fldChar w:fldCharType="end"/>
          </w:r>
        </w:sdtContent>
      </w:sdt>
      <w:r w:rsidRPr="00582936">
        <w:rPr>
          <w:rFonts w:ascii="Century Gothic" w:eastAsia="Times New Roman" w:hAnsi="Century Gothic" w:cs="Times New Roman"/>
          <w:color w:val="6E6E7C"/>
          <w:sz w:val="21"/>
          <w:szCs w:val="21"/>
        </w:rPr>
        <w:t xml:space="preserve">; </w:t>
      </w:r>
      <w:r w:rsidR="004D1EB4">
        <w:rPr>
          <w:rFonts w:ascii="Century Gothic" w:eastAsia="Times New Roman" w:hAnsi="Century Gothic" w:cs="Times New Roman"/>
          <w:color w:val="6E6E7C"/>
          <w:sz w:val="21"/>
          <w:szCs w:val="21"/>
        </w:rPr>
        <w:t>empleando</w:t>
      </w:r>
      <w:r w:rsidR="004D1EB4" w:rsidRPr="00582936" w:rsidDel="004D1EB4">
        <w:rPr>
          <w:rFonts w:ascii="Century Gothic" w:eastAsia="Times New Roman" w:hAnsi="Century Gothic" w:cs="Times New Roman"/>
          <w:color w:val="6E6E7C"/>
          <w:sz w:val="21"/>
          <w:szCs w:val="21"/>
        </w:rPr>
        <w:t xml:space="preserve"> </w:t>
      </w:r>
      <w:r w:rsidRPr="00582936">
        <w:rPr>
          <w:rFonts w:ascii="Century Gothic" w:eastAsia="Times New Roman" w:hAnsi="Century Gothic" w:cs="Times New Roman"/>
          <w:color w:val="6E6E7C"/>
          <w:sz w:val="21"/>
          <w:szCs w:val="21"/>
          <w:lang w:val="es-MX"/>
        </w:rPr>
        <w:t xml:space="preserve">la información reportada por el </w:t>
      </w:r>
      <w:r w:rsidRPr="00582936">
        <w:rPr>
          <w:rFonts w:ascii="Century Gothic" w:eastAsia="Calibri" w:hAnsi="Century Gothic" w:cs="Times New Roman"/>
          <w:iCs/>
          <w:color w:val="6E6E7C"/>
          <w:sz w:val="21"/>
          <w:szCs w:val="21"/>
        </w:rPr>
        <w:t xml:space="preserve">Registro Estadístico de Empresas </w:t>
      </w:r>
      <w:r w:rsidRPr="00582936">
        <w:rPr>
          <w:rFonts w:ascii="Century Gothic" w:eastAsia="Times New Roman" w:hAnsi="Century Gothic" w:cs="Times New Roman"/>
          <w:color w:val="6E6E7C"/>
          <w:sz w:val="21"/>
          <w:szCs w:val="21"/>
          <w:lang w:val="es-MX"/>
        </w:rPr>
        <w:t>202</w:t>
      </w:r>
      <w:r>
        <w:rPr>
          <w:rFonts w:ascii="Century Gothic" w:eastAsia="Times New Roman" w:hAnsi="Century Gothic" w:cs="Times New Roman"/>
          <w:color w:val="6E6E7C"/>
          <w:sz w:val="21"/>
          <w:szCs w:val="21"/>
          <w:lang w:val="es-MX"/>
        </w:rPr>
        <w:t>2</w:t>
      </w:r>
      <w:r w:rsidRPr="00582936">
        <w:rPr>
          <w:rFonts w:ascii="Century Gothic" w:eastAsia="Times New Roman" w:hAnsi="Century Gothic" w:cs="Times New Roman"/>
          <w:color w:val="6E6E7C"/>
          <w:sz w:val="21"/>
          <w:szCs w:val="21"/>
          <w:lang w:val="es-MX"/>
        </w:rPr>
        <w:t xml:space="preserve"> (REEM), que se insume de registros administrativos del SRI e IESS.  </w:t>
      </w:r>
    </w:p>
    <w:p w14:paraId="0032D1A8" w14:textId="77777777" w:rsidR="00924439" w:rsidRPr="00582936" w:rsidRDefault="00924439" w:rsidP="00924439">
      <w:pPr>
        <w:spacing w:before="240"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El procedimiento consiste en completar las observaciones faltantes, tomando en cuenta los totales de las siguientes variables; </w:t>
      </w:r>
      <w:r w:rsidRPr="00582936">
        <w:rPr>
          <w:rFonts w:ascii="Century Gothic" w:eastAsia="Times New Roman" w:hAnsi="Century Gothic" w:cs="Times New Roman"/>
          <w:color w:val="6E6E7C"/>
          <w:sz w:val="21"/>
          <w:szCs w:val="21"/>
          <w:lang w:val="es-MX"/>
        </w:rPr>
        <w:t xml:space="preserve">ventas, costos, gastos y personal afiliado. </w:t>
      </w:r>
      <w:r w:rsidRPr="00582936">
        <w:rPr>
          <w:rFonts w:ascii="Century Gothic" w:eastAsia="Calibri" w:hAnsi="Century Gothic" w:cs="Times New Roman"/>
          <w:iCs/>
          <w:color w:val="6E6E7C"/>
          <w:sz w:val="21"/>
          <w:szCs w:val="21"/>
          <w:lang w:eastAsia="es-EC"/>
        </w:rPr>
        <w:t xml:space="preserve">Para la imputación, como se mencionó anteriormente, se replica la estructura de los valores reportados en años anteriores, preferentemente del año más reciente. </w:t>
      </w:r>
    </w:p>
    <w:p w14:paraId="38A1D6F3" w14:textId="77777777" w:rsidR="00924439" w:rsidRPr="00582936" w:rsidRDefault="00924439" w:rsidP="00924439">
      <w:pPr>
        <w:spacing w:before="240"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Adicionalmente, se realizó la</w:t>
      </w:r>
      <w:r>
        <w:rPr>
          <w:rFonts w:ascii="Century Gothic" w:eastAsia="Calibri" w:hAnsi="Century Gothic" w:cs="Times New Roman"/>
          <w:iCs/>
          <w:color w:val="6E6E7C"/>
          <w:sz w:val="21"/>
          <w:szCs w:val="21"/>
          <w:lang w:eastAsia="es-EC"/>
        </w:rPr>
        <w:t xml:space="preserve"> imputación y</w:t>
      </w:r>
      <w:r w:rsidRPr="00582936">
        <w:rPr>
          <w:rFonts w:ascii="Century Gothic" w:eastAsia="Calibri" w:hAnsi="Century Gothic" w:cs="Times New Roman"/>
          <w:iCs/>
          <w:color w:val="6E6E7C"/>
          <w:sz w:val="21"/>
          <w:szCs w:val="21"/>
          <w:lang w:eastAsia="es-EC"/>
        </w:rPr>
        <w:t xml:space="preserve"> precarga</w:t>
      </w:r>
      <w:r>
        <w:rPr>
          <w:rStyle w:val="Refdenotaalpie"/>
          <w:rFonts w:ascii="Century Gothic" w:eastAsia="Calibri" w:hAnsi="Century Gothic" w:cs="Times New Roman"/>
          <w:iCs/>
          <w:color w:val="6E6E7C"/>
          <w:sz w:val="21"/>
          <w:szCs w:val="21"/>
          <w:lang w:eastAsia="es-EC"/>
        </w:rPr>
        <w:footnoteReference w:id="15"/>
      </w:r>
      <w:r w:rsidRPr="00582936">
        <w:rPr>
          <w:rFonts w:ascii="Century Gothic" w:eastAsia="Calibri" w:hAnsi="Century Gothic" w:cs="Times New Roman"/>
          <w:iCs/>
          <w:color w:val="6E6E7C"/>
          <w:sz w:val="21"/>
          <w:szCs w:val="21"/>
          <w:lang w:eastAsia="es-EC"/>
        </w:rPr>
        <w:t xml:space="preserve"> de información del Capítulo V, utilizando el Registro Estadístico de Empleo en la Seguridad Social (REESS), base de datos</w:t>
      </w:r>
      <w:r>
        <w:rPr>
          <w:rFonts w:ascii="Century Gothic" w:eastAsia="Calibri" w:hAnsi="Century Gothic" w:cs="Times New Roman"/>
          <w:iCs/>
          <w:color w:val="6E6E7C"/>
          <w:sz w:val="21"/>
          <w:szCs w:val="21"/>
          <w:lang w:eastAsia="es-EC"/>
        </w:rPr>
        <w:t xml:space="preserve"> </w:t>
      </w:r>
      <w:r w:rsidRPr="00582936">
        <w:rPr>
          <w:rFonts w:ascii="Century Gothic" w:eastAsia="Calibri" w:hAnsi="Century Gothic" w:cs="Times New Roman"/>
          <w:iCs/>
          <w:color w:val="6E6E7C"/>
          <w:sz w:val="21"/>
          <w:szCs w:val="21"/>
          <w:lang w:eastAsia="es-EC"/>
        </w:rPr>
        <w:t xml:space="preserve">generada a través del registro administrativo del Instituto Ecuatoriano de Seguridad Social. El procedimiento contempla tres etapas: </w:t>
      </w:r>
    </w:p>
    <w:p w14:paraId="33BFF59B" w14:textId="77777777" w:rsidR="00924439" w:rsidRPr="00582936" w:rsidRDefault="00924439" w:rsidP="00E5524A">
      <w:pPr>
        <w:numPr>
          <w:ilvl w:val="0"/>
          <w:numId w:val="28"/>
        </w:numPr>
        <w:spacing w:after="200" w:line="276" w:lineRule="auto"/>
        <w:contextualSpacing/>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En el primero, se usa el porcentaje promedio de participación que representó cada categoría de ocupación de cada empresa durante las rondas 2019 y 2020 de la ENESEM, sobre el total del personal afiliado y salario para cada unidad de análisis, proceso que a lo largo del documento se denomina estructura preexistente.</w:t>
      </w:r>
    </w:p>
    <w:p w14:paraId="663E0E8D" w14:textId="77777777" w:rsidR="00924439" w:rsidRPr="00582936" w:rsidRDefault="00924439" w:rsidP="00E5524A">
      <w:pPr>
        <w:numPr>
          <w:ilvl w:val="0"/>
          <w:numId w:val="28"/>
        </w:numPr>
        <w:spacing w:after="200" w:line="276" w:lineRule="auto"/>
        <w:contextualSpacing/>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El segundo procedimiento se efectúo para 1.270 empresas de la muestra de la ENESEM 2022, es decir, para aquellos casos que se investigan por primera vez en la encuesta como también para aquellas empresas que no participaron en las rondas anteriormente mencionadas; proceso que se denomina casos no coincidentes. </w:t>
      </w:r>
    </w:p>
    <w:p w14:paraId="75C12FDB" w14:textId="77777777" w:rsidR="00924439" w:rsidRPr="00582936" w:rsidRDefault="00924439" w:rsidP="00E5524A">
      <w:pPr>
        <w:numPr>
          <w:ilvl w:val="0"/>
          <w:numId w:val="28"/>
        </w:numPr>
        <w:spacing w:after="200" w:line="276" w:lineRule="auto"/>
        <w:contextualSpacing/>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El tercer procedimiento se efectuó únicamente para los casos de 2 empresas, debido a la fusión que ambas empresas sufrieron en el año 2021; este proceso se denomina caso fusión de empresas.</w:t>
      </w:r>
    </w:p>
    <w:p w14:paraId="0F55CF56" w14:textId="77777777" w:rsidR="00924439" w:rsidRDefault="00EB133C" w:rsidP="00924439">
      <w:pPr>
        <w:spacing w:before="240" w:after="200" w:line="276" w:lineRule="auto"/>
        <w:jc w:val="both"/>
        <w:rPr>
          <w:rFonts w:ascii="Century Gothic" w:eastAsia="Calibri" w:hAnsi="Century Gothic" w:cs="Times New Roman"/>
          <w:iCs/>
          <w:color w:val="6E6E7C"/>
          <w:sz w:val="21"/>
          <w:szCs w:val="21"/>
          <w:lang w:eastAsia="es-EC"/>
        </w:rPr>
      </w:pPr>
      <w:r>
        <w:rPr>
          <w:rFonts w:ascii="Century Gothic" w:eastAsia="Calibri" w:hAnsi="Century Gothic" w:cs="Times New Roman"/>
          <w:iCs/>
          <w:color w:val="6E6E7C"/>
          <w:sz w:val="21"/>
          <w:szCs w:val="21"/>
          <w:lang w:eastAsia="es-EC"/>
        </w:rPr>
        <w:t xml:space="preserve">A continuación, en la tabla </w:t>
      </w:r>
      <w:r w:rsidR="00CF3585">
        <w:rPr>
          <w:rFonts w:ascii="Century Gothic" w:eastAsia="Calibri" w:hAnsi="Century Gothic" w:cs="Times New Roman"/>
          <w:iCs/>
          <w:color w:val="6E6E7C"/>
          <w:sz w:val="21"/>
          <w:szCs w:val="21"/>
          <w:lang w:eastAsia="es-EC"/>
        </w:rPr>
        <w:t>9</w:t>
      </w:r>
      <w:r w:rsidR="00924439" w:rsidRPr="00582936">
        <w:rPr>
          <w:rFonts w:ascii="Century Gothic" w:eastAsia="Calibri" w:hAnsi="Century Gothic" w:cs="Times New Roman"/>
          <w:iCs/>
          <w:color w:val="6E6E7C"/>
          <w:sz w:val="21"/>
          <w:szCs w:val="21"/>
          <w:lang w:eastAsia="es-EC"/>
        </w:rPr>
        <w:t xml:space="preserve"> se ejemplifica el proceso de estimación de la estructura preexistente. Como se observa, el primer paso es obtener la participación promedio de cada categoría de ocupación de los años 2019 y 2020 para luego calcular la estructura porcentual de cada una de estas para finalmente multiplicar esa estructura por el total del valor precargado y obtener los valores de cada grupo de ocupación.</w:t>
      </w:r>
    </w:p>
    <w:p w14:paraId="69FFC392" w14:textId="77777777" w:rsidR="00EB133C" w:rsidRPr="00EB133C" w:rsidRDefault="00EB133C" w:rsidP="004A6CED">
      <w:pPr>
        <w:pStyle w:val="Descripcin"/>
        <w:keepNext/>
        <w:jc w:val="center"/>
        <w:rPr>
          <w:rFonts w:ascii="Century Gothic" w:eastAsia="Times New Roman" w:hAnsi="Century Gothic" w:cs="Times New Roman"/>
          <w:b w:val="0"/>
          <w:bCs w:val="0"/>
          <w:color w:val="6E6E7C"/>
        </w:rPr>
      </w:pPr>
      <w:bookmarkStart w:id="284" w:name="_Toc157671121"/>
      <w:bookmarkStart w:id="285" w:name="_Toc158206887"/>
      <w:bookmarkStart w:id="286" w:name="_Toc161322603"/>
      <w:r w:rsidRPr="00EB133C">
        <w:rPr>
          <w:rFonts w:ascii="Century Gothic" w:eastAsia="Times New Roman" w:hAnsi="Century Gothic" w:cs="Times New Roman"/>
          <w:bCs w:val="0"/>
          <w:color w:val="6E6E7C"/>
        </w:rPr>
        <w:lastRenderedPageBreak/>
        <w:t xml:space="preserve">Tabla </w:t>
      </w:r>
      <w:r w:rsidRPr="00EB133C">
        <w:rPr>
          <w:rFonts w:ascii="Century Gothic" w:eastAsia="Times New Roman" w:hAnsi="Century Gothic" w:cs="Times New Roman"/>
          <w:bCs w:val="0"/>
          <w:color w:val="6E6E7C"/>
        </w:rPr>
        <w:fldChar w:fldCharType="begin"/>
      </w:r>
      <w:r w:rsidRPr="00EB133C">
        <w:rPr>
          <w:rFonts w:ascii="Century Gothic" w:eastAsia="Times New Roman" w:hAnsi="Century Gothic" w:cs="Times New Roman"/>
          <w:bCs w:val="0"/>
          <w:color w:val="6E6E7C"/>
        </w:rPr>
        <w:instrText xml:space="preserve"> SEQ Tabla \* ARABIC </w:instrText>
      </w:r>
      <w:r w:rsidRPr="00EB133C">
        <w:rPr>
          <w:rFonts w:ascii="Century Gothic" w:eastAsia="Times New Roman" w:hAnsi="Century Gothic" w:cs="Times New Roman"/>
          <w:bCs w:val="0"/>
          <w:color w:val="6E6E7C"/>
        </w:rPr>
        <w:fldChar w:fldCharType="separate"/>
      </w:r>
      <w:r w:rsidR="00CF3585">
        <w:rPr>
          <w:rFonts w:ascii="Century Gothic" w:eastAsia="Times New Roman" w:hAnsi="Century Gothic" w:cs="Times New Roman"/>
          <w:bCs w:val="0"/>
          <w:noProof/>
          <w:color w:val="6E6E7C"/>
        </w:rPr>
        <w:t>9</w:t>
      </w:r>
      <w:r w:rsidRPr="00EB133C">
        <w:rPr>
          <w:rFonts w:ascii="Century Gothic" w:eastAsia="Times New Roman" w:hAnsi="Century Gothic" w:cs="Times New Roman"/>
          <w:bCs w:val="0"/>
          <w:color w:val="6E6E7C"/>
        </w:rPr>
        <w:fldChar w:fldCharType="end"/>
      </w:r>
      <w:r w:rsidRPr="00EB133C">
        <w:rPr>
          <w:rFonts w:ascii="Century Gothic" w:eastAsia="Times New Roman" w:hAnsi="Century Gothic" w:cs="Times New Roman"/>
          <w:bCs w:val="0"/>
          <w:color w:val="6E6E7C"/>
        </w:rPr>
        <w:t>.</w:t>
      </w:r>
      <w:r w:rsidRPr="00EB133C">
        <w:rPr>
          <w:rFonts w:ascii="Century Gothic" w:eastAsia="Times New Roman" w:hAnsi="Century Gothic" w:cs="Times New Roman"/>
          <w:b w:val="0"/>
          <w:bCs w:val="0"/>
          <w:color w:val="6E6E7C"/>
        </w:rPr>
        <w:t xml:space="preserve"> Ejemplificación del proceso de estimación del Capítulo V, estructura preexistente</w:t>
      </w:r>
      <w:bookmarkEnd w:id="284"/>
      <w:bookmarkEnd w:id="285"/>
      <w:bookmarkEnd w:id="286"/>
    </w:p>
    <w:tbl>
      <w:tblPr>
        <w:tblStyle w:val="Tablaconcuadrcula1clara1"/>
        <w:tblW w:w="9371" w:type="dxa"/>
        <w:tblInd w:w="-289" w:type="dxa"/>
        <w:tblLook w:val="04A0" w:firstRow="1" w:lastRow="0" w:firstColumn="1" w:lastColumn="0" w:noHBand="0" w:noVBand="1"/>
      </w:tblPr>
      <w:tblGrid>
        <w:gridCol w:w="597"/>
        <w:gridCol w:w="1890"/>
        <w:gridCol w:w="941"/>
        <w:gridCol w:w="1053"/>
        <w:gridCol w:w="963"/>
        <w:gridCol w:w="1624"/>
        <w:gridCol w:w="1069"/>
        <w:gridCol w:w="1234"/>
      </w:tblGrid>
      <w:tr w:rsidR="00924439" w:rsidRPr="00582936" w14:paraId="47CC09A9" w14:textId="77777777" w:rsidTr="00460317">
        <w:trPr>
          <w:cnfStyle w:val="100000000000" w:firstRow="1" w:lastRow="0" w:firstColumn="0" w:lastColumn="0" w:oddVBand="0" w:evenVBand="0" w:oddHBand="0" w:evenHBand="0" w:firstRowFirstColumn="0" w:firstRowLastColumn="0" w:lastRowFirstColumn="0" w:lastRowLastColumn="0"/>
          <w:trHeight w:val="111"/>
        </w:trPr>
        <w:tc>
          <w:tcPr>
            <w:cnfStyle w:val="001000000000" w:firstRow="0" w:lastRow="0" w:firstColumn="1" w:lastColumn="0" w:oddVBand="0" w:evenVBand="0" w:oddHBand="0" w:evenHBand="0" w:firstRowFirstColumn="0" w:firstRowLastColumn="0" w:lastRowFirstColumn="0" w:lastRowLastColumn="0"/>
            <w:tcW w:w="2487" w:type="dxa"/>
            <w:gridSpan w:val="2"/>
            <w:vMerge w:val="restart"/>
            <w:shd w:val="clear" w:color="auto" w:fill="4266CE"/>
            <w:vAlign w:val="center"/>
            <w:hideMark/>
          </w:tcPr>
          <w:p w14:paraId="13FEB420" w14:textId="77777777" w:rsidR="00924439" w:rsidRPr="00460317" w:rsidRDefault="00924439" w:rsidP="00924439">
            <w:pPr>
              <w:jc w:val="center"/>
              <w:rPr>
                <w:rFonts w:ascii="Century Gothic" w:eastAsia="Times New Roman" w:hAnsi="Century Gothic" w:cs="Calibri"/>
                <w:iCs/>
                <w:color w:val="FFFFFF" w:themeColor="background1"/>
                <w:sz w:val="16"/>
                <w:szCs w:val="16"/>
                <w:lang w:eastAsia="es-EC"/>
              </w:rPr>
            </w:pPr>
            <w:r w:rsidRPr="00460317">
              <w:rPr>
                <w:rFonts w:ascii="Century Gothic" w:eastAsia="Times New Roman" w:hAnsi="Century Gothic" w:cs="Calibri"/>
                <w:iCs/>
                <w:color w:val="FFFFFF" w:themeColor="background1"/>
                <w:sz w:val="16"/>
                <w:szCs w:val="16"/>
                <w:lang w:eastAsia="es-EC"/>
              </w:rPr>
              <w:t>Grupos de ocupación</w:t>
            </w:r>
          </w:p>
        </w:tc>
        <w:tc>
          <w:tcPr>
            <w:tcW w:w="4581" w:type="dxa"/>
            <w:gridSpan w:val="4"/>
            <w:shd w:val="clear" w:color="auto" w:fill="4266CE"/>
            <w:vAlign w:val="center"/>
          </w:tcPr>
          <w:p w14:paraId="2D50DB4F" w14:textId="77777777" w:rsidR="00924439" w:rsidRPr="00460317" w:rsidRDefault="00924439" w:rsidP="00924439">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iCs/>
                <w:color w:val="FFFFFF" w:themeColor="background1"/>
                <w:sz w:val="16"/>
                <w:szCs w:val="16"/>
                <w:lang w:eastAsia="es-EC"/>
              </w:rPr>
            </w:pPr>
            <w:r w:rsidRPr="00460317">
              <w:rPr>
                <w:rFonts w:ascii="Century Gothic" w:eastAsia="Times New Roman" w:hAnsi="Century Gothic" w:cs="Calibri"/>
                <w:iCs/>
                <w:color w:val="FFFFFF" w:themeColor="background1"/>
                <w:sz w:val="16"/>
                <w:szCs w:val="16"/>
                <w:lang w:eastAsia="es-EC"/>
              </w:rPr>
              <w:t>Última ENESEM publicada</w:t>
            </w:r>
          </w:p>
        </w:tc>
        <w:tc>
          <w:tcPr>
            <w:tcW w:w="2303" w:type="dxa"/>
            <w:gridSpan w:val="2"/>
            <w:shd w:val="clear" w:color="auto" w:fill="4266CE"/>
            <w:vAlign w:val="center"/>
            <w:hideMark/>
          </w:tcPr>
          <w:p w14:paraId="11FA3B92" w14:textId="77777777" w:rsidR="00924439" w:rsidRPr="00460317" w:rsidRDefault="00924439" w:rsidP="00924439">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iCs/>
                <w:color w:val="FFFFFF" w:themeColor="background1"/>
                <w:sz w:val="16"/>
                <w:szCs w:val="16"/>
                <w:lang w:eastAsia="es-EC"/>
              </w:rPr>
            </w:pPr>
            <w:r w:rsidRPr="00460317">
              <w:rPr>
                <w:rFonts w:ascii="Century Gothic" w:eastAsia="Times New Roman" w:hAnsi="Century Gothic" w:cs="Calibri"/>
                <w:iCs/>
                <w:color w:val="FFFFFF" w:themeColor="background1"/>
                <w:sz w:val="16"/>
                <w:szCs w:val="16"/>
                <w:lang w:eastAsia="es-EC"/>
              </w:rPr>
              <w:t>Ejercicio de precarga con datos del REESS</w:t>
            </w:r>
          </w:p>
        </w:tc>
      </w:tr>
      <w:tr w:rsidR="00924439" w:rsidRPr="00582936" w14:paraId="6B21C971" w14:textId="77777777" w:rsidTr="00460317">
        <w:trPr>
          <w:trHeight w:val="176"/>
        </w:trPr>
        <w:tc>
          <w:tcPr>
            <w:cnfStyle w:val="001000000000" w:firstRow="0" w:lastRow="0" w:firstColumn="1" w:lastColumn="0" w:oddVBand="0" w:evenVBand="0" w:oddHBand="0" w:evenHBand="0" w:firstRowFirstColumn="0" w:firstRowLastColumn="0" w:lastRowFirstColumn="0" w:lastRowLastColumn="0"/>
            <w:tcW w:w="2487" w:type="dxa"/>
            <w:gridSpan w:val="2"/>
            <w:vMerge/>
            <w:shd w:val="clear" w:color="auto" w:fill="4266CE"/>
            <w:vAlign w:val="center"/>
            <w:hideMark/>
          </w:tcPr>
          <w:p w14:paraId="799B6604" w14:textId="77777777" w:rsidR="00924439" w:rsidRPr="00460317" w:rsidRDefault="00924439" w:rsidP="00924439">
            <w:pPr>
              <w:jc w:val="center"/>
              <w:rPr>
                <w:rFonts w:ascii="Century Gothic" w:eastAsia="Times New Roman" w:hAnsi="Century Gothic" w:cs="Calibri"/>
                <w:iCs/>
                <w:color w:val="FFFFFF" w:themeColor="background1"/>
                <w:sz w:val="16"/>
                <w:szCs w:val="16"/>
                <w:lang w:eastAsia="es-EC"/>
              </w:rPr>
            </w:pPr>
          </w:p>
        </w:tc>
        <w:tc>
          <w:tcPr>
            <w:tcW w:w="941" w:type="dxa"/>
            <w:shd w:val="clear" w:color="auto" w:fill="4266CE"/>
            <w:vAlign w:val="center"/>
            <w:hideMark/>
          </w:tcPr>
          <w:p w14:paraId="59A5AE8C"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Personal ocupado 2019</w:t>
            </w:r>
          </w:p>
          <w:p w14:paraId="44261DE1"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Col. (1)</w:t>
            </w:r>
          </w:p>
        </w:tc>
        <w:tc>
          <w:tcPr>
            <w:tcW w:w="1053" w:type="dxa"/>
            <w:shd w:val="clear" w:color="auto" w:fill="4266CE"/>
            <w:vAlign w:val="center"/>
          </w:tcPr>
          <w:p w14:paraId="05552598"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Personal ocupado 2020</w:t>
            </w:r>
          </w:p>
          <w:p w14:paraId="2E8FFE6E"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Col. (2)</w:t>
            </w:r>
          </w:p>
        </w:tc>
        <w:tc>
          <w:tcPr>
            <w:tcW w:w="963" w:type="dxa"/>
            <w:shd w:val="clear" w:color="auto" w:fill="4266CE"/>
            <w:vAlign w:val="center"/>
          </w:tcPr>
          <w:p w14:paraId="65207D01"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Promedio por grupo</w:t>
            </w:r>
          </w:p>
          <w:p w14:paraId="2A686E4D"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Col. (3)</w:t>
            </w:r>
          </w:p>
        </w:tc>
        <w:tc>
          <w:tcPr>
            <w:tcW w:w="1623" w:type="dxa"/>
            <w:shd w:val="clear" w:color="auto" w:fill="4266CE"/>
            <w:vAlign w:val="center"/>
            <w:hideMark/>
          </w:tcPr>
          <w:p w14:paraId="035C38C6"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Estructura calculada</w:t>
            </w:r>
          </w:p>
          <w:p w14:paraId="03FAAB45"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Col. (4)</w:t>
            </w:r>
          </w:p>
        </w:tc>
        <w:tc>
          <w:tcPr>
            <w:tcW w:w="1069" w:type="dxa"/>
            <w:shd w:val="clear" w:color="auto" w:fill="4266CE"/>
            <w:vAlign w:val="center"/>
            <w:hideMark/>
          </w:tcPr>
          <w:p w14:paraId="42893767"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Aplicación de estructura</w:t>
            </w:r>
          </w:p>
          <w:p w14:paraId="251F533F"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Col. (5)</w:t>
            </w:r>
          </w:p>
        </w:tc>
        <w:tc>
          <w:tcPr>
            <w:tcW w:w="1233" w:type="dxa"/>
            <w:shd w:val="clear" w:color="auto" w:fill="4266CE"/>
            <w:vAlign w:val="center"/>
            <w:hideMark/>
          </w:tcPr>
          <w:p w14:paraId="3DC94FC9"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Valor precargado</w:t>
            </w:r>
          </w:p>
          <w:p w14:paraId="6F0698D3" w14:textId="77777777" w:rsidR="00924439" w:rsidRPr="00460317"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iCs/>
                <w:color w:val="FFFFFF" w:themeColor="background1"/>
                <w:sz w:val="16"/>
                <w:szCs w:val="16"/>
                <w:lang w:eastAsia="es-EC"/>
              </w:rPr>
            </w:pPr>
            <w:r w:rsidRPr="00460317">
              <w:rPr>
                <w:rFonts w:ascii="Century Gothic" w:eastAsia="Times New Roman" w:hAnsi="Century Gothic" w:cs="Calibri"/>
                <w:b/>
                <w:bCs/>
                <w:iCs/>
                <w:color w:val="FFFFFF" w:themeColor="background1"/>
                <w:sz w:val="16"/>
                <w:szCs w:val="16"/>
                <w:lang w:eastAsia="es-EC"/>
              </w:rPr>
              <w:t>Col. (6)</w:t>
            </w:r>
          </w:p>
        </w:tc>
      </w:tr>
      <w:tr w:rsidR="00924439" w:rsidRPr="00582936" w14:paraId="5E856353" w14:textId="77777777" w:rsidTr="00CF3585">
        <w:trPr>
          <w:trHeight w:val="178"/>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0A39D862"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1</w:t>
            </w:r>
          </w:p>
        </w:tc>
        <w:tc>
          <w:tcPr>
            <w:tcW w:w="1890" w:type="dxa"/>
            <w:noWrap/>
            <w:vAlign w:val="center"/>
            <w:hideMark/>
          </w:tcPr>
          <w:p w14:paraId="682EE378"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Directores y Gerentes</w:t>
            </w:r>
          </w:p>
        </w:tc>
        <w:tc>
          <w:tcPr>
            <w:tcW w:w="941" w:type="dxa"/>
            <w:noWrap/>
            <w:vAlign w:val="center"/>
            <w:hideMark/>
          </w:tcPr>
          <w:p w14:paraId="69D95173"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40</w:t>
            </w:r>
          </w:p>
        </w:tc>
        <w:tc>
          <w:tcPr>
            <w:tcW w:w="1053" w:type="dxa"/>
            <w:vAlign w:val="center"/>
          </w:tcPr>
          <w:p w14:paraId="5116A755"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65</w:t>
            </w:r>
          </w:p>
        </w:tc>
        <w:tc>
          <w:tcPr>
            <w:tcW w:w="963" w:type="dxa"/>
            <w:vAlign w:val="center"/>
          </w:tcPr>
          <w:p w14:paraId="6D1E39B3"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52,5</w:t>
            </w:r>
          </w:p>
        </w:tc>
        <w:tc>
          <w:tcPr>
            <w:tcW w:w="1623" w:type="dxa"/>
            <w:noWrap/>
            <w:vAlign w:val="center"/>
            <w:hideMark/>
          </w:tcPr>
          <w:p w14:paraId="3B986F5B"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52,5/852,5=6.2%</w:t>
            </w:r>
          </w:p>
        </w:tc>
        <w:tc>
          <w:tcPr>
            <w:tcW w:w="1069" w:type="dxa"/>
            <w:noWrap/>
            <w:vAlign w:val="center"/>
            <w:hideMark/>
          </w:tcPr>
          <w:p w14:paraId="61F4BC1D"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867*6,2%</w:t>
            </w:r>
          </w:p>
        </w:tc>
        <w:tc>
          <w:tcPr>
            <w:tcW w:w="1233" w:type="dxa"/>
            <w:noWrap/>
            <w:vAlign w:val="center"/>
            <w:hideMark/>
          </w:tcPr>
          <w:p w14:paraId="04E19E5F"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54</w:t>
            </w:r>
          </w:p>
        </w:tc>
      </w:tr>
      <w:tr w:rsidR="00924439" w:rsidRPr="00582936" w14:paraId="322BB245" w14:textId="77777777" w:rsidTr="00CF3585">
        <w:trPr>
          <w:trHeight w:val="200"/>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3E404590"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2</w:t>
            </w:r>
          </w:p>
        </w:tc>
        <w:tc>
          <w:tcPr>
            <w:tcW w:w="1890" w:type="dxa"/>
            <w:noWrap/>
            <w:vAlign w:val="center"/>
            <w:hideMark/>
          </w:tcPr>
          <w:p w14:paraId="42B97A0E"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Profesionales, científicos e intelectuales</w:t>
            </w:r>
          </w:p>
        </w:tc>
        <w:tc>
          <w:tcPr>
            <w:tcW w:w="941" w:type="dxa"/>
            <w:noWrap/>
            <w:vAlign w:val="center"/>
            <w:hideMark/>
          </w:tcPr>
          <w:p w14:paraId="608C55A2"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630</w:t>
            </w:r>
          </w:p>
        </w:tc>
        <w:tc>
          <w:tcPr>
            <w:tcW w:w="1053" w:type="dxa"/>
            <w:vAlign w:val="center"/>
          </w:tcPr>
          <w:p w14:paraId="02BE0CEF"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468</w:t>
            </w:r>
          </w:p>
        </w:tc>
        <w:tc>
          <w:tcPr>
            <w:tcW w:w="963" w:type="dxa"/>
            <w:vAlign w:val="center"/>
          </w:tcPr>
          <w:p w14:paraId="5002E193"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549</w:t>
            </w:r>
          </w:p>
        </w:tc>
        <w:tc>
          <w:tcPr>
            <w:tcW w:w="1623" w:type="dxa"/>
            <w:noWrap/>
            <w:vAlign w:val="center"/>
            <w:hideMark/>
          </w:tcPr>
          <w:p w14:paraId="19949973"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549/852,5=64.4%</w:t>
            </w:r>
          </w:p>
        </w:tc>
        <w:tc>
          <w:tcPr>
            <w:tcW w:w="1069" w:type="dxa"/>
            <w:noWrap/>
            <w:vAlign w:val="center"/>
            <w:hideMark/>
          </w:tcPr>
          <w:p w14:paraId="74CFA179"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867*64,4%</w:t>
            </w:r>
          </w:p>
        </w:tc>
        <w:tc>
          <w:tcPr>
            <w:tcW w:w="1233" w:type="dxa"/>
            <w:noWrap/>
            <w:vAlign w:val="center"/>
            <w:hideMark/>
          </w:tcPr>
          <w:p w14:paraId="5C7290D9"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558</w:t>
            </w:r>
          </w:p>
        </w:tc>
      </w:tr>
      <w:tr w:rsidR="00924439" w:rsidRPr="00582936" w14:paraId="24C3157B" w14:textId="77777777" w:rsidTr="00CF3585">
        <w:trPr>
          <w:trHeight w:val="183"/>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5162C7F3"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3</w:t>
            </w:r>
          </w:p>
        </w:tc>
        <w:tc>
          <w:tcPr>
            <w:tcW w:w="1890" w:type="dxa"/>
            <w:noWrap/>
            <w:vAlign w:val="center"/>
            <w:hideMark/>
          </w:tcPr>
          <w:p w14:paraId="559D88AC"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Técnicos y profesionales de nivel medio</w:t>
            </w:r>
          </w:p>
        </w:tc>
        <w:tc>
          <w:tcPr>
            <w:tcW w:w="941" w:type="dxa"/>
            <w:noWrap/>
            <w:vAlign w:val="center"/>
            <w:hideMark/>
          </w:tcPr>
          <w:p w14:paraId="17910EB2"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101</w:t>
            </w:r>
          </w:p>
        </w:tc>
        <w:tc>
          <w:tcPr>
            <w:tcW w:w="1053" w:type="dxa"/>
            <w:vAlign w:val="center"/>
          </w:tcPr>
          <w:p w14:paraId="32ED7ED5"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9</w:t>
            </w:r>
          </w:p>
        </w:tc>
        <w:tc>
          <w:tcPr>
            <w:tcW w:w="963" w:type="dxa"/>
            <w:vAlign w:val="center"/>
          </w:tcPr>
          <w:p w14:paraId="5C2785BF"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55</w:t>
            </w:r>
          </w:p>
        </w:tc>
        <w:tc>
          <w:tcPr>
            <w:tcW w:w="1623" w:type="dxa"/>
            <w:noWrap/>
            <w:vAlign w:val="center"/>
            <w:hideMark/>
          </w:tcPr>
          <w:p w14:paraId="7342DE74"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55/852,5=6.5%</w:t>
            </w:r>
          </w:p>
        </w:tc>
        <w:tc>
          <w:tcPr>
            <w:tcW w:w="1069" w:type="dxa"/>
            <w:noWrap/>
            <w:vAlign w:val="center"/>
            <w:hideMark/>
          </w:tcPr>
          <w:p w14:paraId="675D01D2"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867*6,5%</w:t>
            </w:r>
          </w:p>
        </w:tc>
        <w:tc>
          <w:tcPr>
            <w:tcW w:w="1233" w:type="dxa"/>
            <w:noWrap/>
            <w:vAlign w:val="center"/>
            <w:hideMark/>
          </w:tcPr>
          <w:p w14:paraId="761BD4E4"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56</w:t>
            </w:r>
          </w:p>
        </w:tc>
      </w:tr>
      <w:tr w:rsidR="00924439" w:rsidRPr="00582936" w14:paraId="3A3DF5E1" w14:textId="77777777" w:rsidTr="00CF3585">
        <w:trPr>
          <w:trHeight w:val="101"/>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6B1BE3D3"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4</w:t>
            </w:r>
          </w:p>
        </w:tc>
        <w:tc>
          <w:tcPr>
            <w:tcW w:w="1890" w:type="dxa"/>
            <w:noWrap/>
            <w:vAlign w:val="center"/>
            <w:hideMark/>
          </w:tcPr>
          <w:p w14:paraId="2800152F"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Personal de apoyo administrativo / empleados de oficina</w:t>
            </w:r>
          </w:p>
        </w:tc>
        <w:tc>
          <w:tcPr>
            <w:tcW w:w="941" w:type="dxa"/>
            <w:noWrap/>
            <w:vAlign w:val="center"/>
            <w:hideMark/>
          </w:tcPr>
          <w:p w14:paraId="2639658C"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16</w:t>
            </w:r>
          </w:p>
        </w:tc>
        <w:tc>
          <w:tcPr>
            <w:tcW w:w="1053" w:type="dxa"/>
            <w:vAlign w:val="center"/>
          </w:tcPr>
          <w:p w14:paraId="02F96B8D"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219</w:t>
            </w:r>
          </w:p>
        </w:tc>
        <w:tc>
          <w:tcPr>
            <w:tcW w:w="963" w:type="dxa"/>
            <w:vAlign w:val="center"/>
          </w:tcPr>
          <w:p w14:paraId="359FC2D6"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117,5</w:t>
            </w:r>
          </w:p>
        </w:tc>
        <w:tc>
          <w:tcPr>
            <w:tcW w:w="1623" w:type="dxa"/>
            <w:noWrap/>
            <w:vAlign w:val="center"/>
            <w:hideMark/>
          </w:tcPr>
          <w:p w14:paraId="4D025194"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117,5/852,5=13.8%</w:t>
            </w:r>
          </w:p>
        </w:tc>
        <w:tc>
          <w:tcPr>
            <w:tcW w:w="1069" w:type="dxa"/>
            <w:noWrap/>
            <w:vAlign w:val="center"/>
            <w:hideMark/>
          </w:tcPr>
          <w:p w14:paraId="6D007055"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867*13,8%</w:t>
            </w:r>
          </w:p>
        </w:tc>
        <w:tc>
          <w:tcPr>
            <w:tcW w:w="1233" w:type="dxa"/>
            <w:noWrap/>
            <w:vAlign w:val="center"/>
            <w:hideMark/>
          </w:tcPr>
          <w:p w14:paraId="44E2575A"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120</w:t>
            </w:r>
          </w:p>
        </w:tc>
      </w:tr>
      <w:tr w:rsidR="00924439" w:rsidRPr="00582936" w14:paraId="094AB074" w14:textId="77777777" w:rsidTr="00CF3585">
        <w:trPr>
          <w:trHeight w:val="101"/>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760E9EF0"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5</w:t>
            </w:r>
          </w:p>
        </w:tc>
        <w:tc>
          <w:tcPr>
            <w:tcW w:w="1890" w:type="dxa"/>
            <w:noWrap/>
            <w:vAlign w:val="center"/>
            <w:hideMark/>
          </w:tcPr>
          <w:p w14:paraId="29F4541A"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Trabajadores de los servicios y vendedores de comercios y mercados</w:t>
            </w:r>
          </w:p>
        </w:tc>
        <w:tc>
          <w:tcPr>
            <w:tcW w:w="941" w:type="dxa"/>
            <w:noWrap/>
            <w:vAlign w:val="center"/>
            <w:hideMark/>
          </w:tcPr>
          <w:p w14:paraId="1D4B271D"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53" w:type="dxa"/>
            <w:vAlign w:val="center"/>
          </w:tcPr>
          <w:p w14:paraId="672849D1"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963" w:type="dxa"/>
            <w:vAlign w:val="center"/>
          </w:tcPr>
          <w:p w14:paraId="0FA4BF4E"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p>
        </w:tc>
        <w:tc>
          <w:tcPr>
            <w:tcW w:w="1623" w:type="dxa"/>
            <w:noWrap/>
            <w:vAlign w:val="center"/>
          </w:tcPr>
          <w:p w14:paraId="3E4BC7C9"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69" w:type="dxa"/>
            <w:noWrap/>
            <w:vAlign w:val="center"/>
          </w:tcPr>
          <w:p w14:paraId="7C3C498D"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233" w:type="dxa"/>
            <w:noWrap/>
            <w:vAlign w:val="center"/>
            <w:hideMark/>
          </w:tcPr>
          <w:p w14:paraId="2FDE96C4"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r>
      <w:tr w:rsidR="00924439" w:rsidRPr="00582936" w14:paraId="600B939D" w14:textId="77777777" w:rsidTr="00CF3585">
        <w:trPr>
          <w:trHeight w:val="101"/>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115FFE0D"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6</w:t>
            </w:r>
          </w:p>
        </w:tc>
        <w:tc>
          <w:tcPr>
            <w:tcW w:w="1890" w:type="dxa"/>
            <w:noWrap/>
            <w:vAlign w:val="center"/>
            <w:hideMark/>
          </w:tcPr>
          <w:p w14:paraId="2AA1FD22"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Agricultores y trabajadores calificados agropecuarios, forestales y pesqueros</w:t>
            </w:r>
          </w:p>
        </w:tc>
        <w:tc>
          <w:tcPr>
            <w:tcW w:w="941" w:type="dxa"/>
            <w:noWrap/>
            <w:vAlign w:val="center"/>
            <w:hideMark/>
          </w:tcPr>
          <w:p w14:paraId="2378D4F9"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53" w:type="dxa"/>
            <w:vAlign w:val="center"/>
          </w:tcPr>
          <w:p w14:paraId="6D8F2334"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963" w:type="dxa"/>
            <w:vAlign w:val="center"/>
          </w:tcPr>
          <w:p w14:paraId="27467E6C"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p>
        </w:tc>
        <w:tc>
          <w:tcPr>
            <w:tcW w:w="1623" w:type="dxa"/>
            <w:noWrap/>
            <w:vAlign w:val="center"/>
          </w:tcPr>
          <w:p w14:paraId="566CCAE0"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69" w:type="dxa"/>
            <w:noWrap/>
            <w:vAlign w:val="center"/>
          </w:tcPr>
          <w:p w14:paraId="26AFE4D1"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233" w:type="dxa"/>
            <w:noWrap/>
            <w:vAlign w:val="center"/>
            <w:hideMark/>
          </w:tcPr>
          <w:p w14:paraId="44E9FFEA"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r>
      <w:tr w:rsidR="00924439" w:rsidRPr="00582936" w14:paraId="052AF03E" w14:textId="77777777" w:rsidTr="00CF3585">
        <w:trPr>
          <w:trHeight w:val="101"/>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372AE58C"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7</w:t>
            </w:r>
          </w:p>
        </w:tc>
        <w:tc>
          <w:tcPr>
            <w:tcW w:w="1890" w:type="dxa"/>
            <w:noWrap/>
            <w:vAlign w:val="center"/>
            <w:hideMark/>
          </w:tcPr>
          <w:p w14:paraId="03B4FAD6"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Oficiales, operarios y artesanos de artes mecánicas y de otros oficios</w:t>
            </w:r>
          </w:p>
        </w:tc>
        <w:tc>
          <w:tcPr>
            <w:tcW w:w="941" w:type="dxa"/>
            <w:noWrap/>
            <w:vAlign w:val="center"/>
            <w:hideMark/>
          </w:tcPr>
          <w:p w14:paraId="5107A873"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53" w:type="dxa"/>
            <w:vAlign w:val="center"/>
          </w:tcPr>
          <w:p w14:paraId="2DD63346"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963" w:type="dxa"/>
            <w:vAlign w:val="center"/>
          </w:tcPr>
          <w:p w14:paraId="0D79C2B3"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p>
        </w:tc>
        <w:tc>
          <w:tcPr>
            <w:tcW w:w="1623" w:type="dxa"/>
            <w:noWrap/>
            <w:vAlign w:val="center"/>
          </w:tcPr>
          <w:p w14:paraId="132EFE55"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69" w:type="dxa"/>
            <w:noWrap/>
            <w:vAlign w:val="center"/>
          </w:tcPr>
          <w:p w14:paraId="0CDFCA4A"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233" w:type="dxa"/>
            <w:noWrap/>
            <w:vAlign w:val="center"/>
            <w:hideMark/>
          </w:tcPr>
          <w:p w14:paraId="00603055"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r>
      <w:tr w:rsidR="00924439" w:rsidRPr="00582936" w14:paraId="354662FB" w14:textId="77777777" w:rsidTr="00CF3585">
        <w:trPr>
          <w:trHeight w:val="101"/>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5B4F3950"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w:t>
            </w:r>
          </w:p>
        </w:tc>
        <w:tc>
          <w:tcPr>
            <w:tcW w:w="1890" w:type="dxa"/>
            <w:noWrap/>
            <w:vAlign w:val="center"/>
            <w:hideMark/>
          </w:tcPr>
          <w:p w14:paraId="0956A285"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Operadores de instalaciones y máquinas y ensambladores</w:t>
            </w:r>
          </w:p>
        </w:tc>
        <w:tc>
          <w:tcPr>
            <w:tcW w:w="941" w:type="dxa"/>
            <w:noWrap/>
            <w:vAlign w:val="center"/>
            <w:hideMark/>
          </w:tcPr>
          <w:p w14:paraId="5BA57D97"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53" w:type="dxa"/>
            <w:vAlign w:val="center"/>
          </w:tcPr>
          <w:p w14:paraId="76CFE950"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963" w:type="dxa"/>
            <w:vAlign w:val="center"/>
          </w:tcPr>
          <w:p w14:paraId="21368BA4"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p>
        </w:tc>
        <w:tc>
          <w:tcPr>
            <w:tcW w:w="1623" w:type="dxa"/>
            <w:noWrap/>
            <w:vAlign w:val="center"/>
          </w:tcPr>
          <w:p w14:paraId="4497C382"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069" w:type="dxa"/>
            <w:noWrap/>
            <w:vAlign w:val="center"/>
          </w:tcPr>
          <w:p w14:paraId="0D341D29"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c>
          <w:tcPr>
            <w:tcW w:w="1233" w:type="dxa"/>
            <w:noWrap/>
            <w:vAlign w:val="center"/>
            <w:hideMark/>
          </w:tcPr>
          <w:p w14:paraId="234F5396"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w:t>
            </w:r>
          </w:p>
        </w:tc>
      </w:tr>
      <w:tr w:rsidR="00924439" w:rsidRPr="00582936" w14:paraId="3E1F6ED2" w14:textId="77777777" w:rsidTr="00CF3585">
        <w:trPr>
          <w:trHeight w:val="101"/>
        </w:trPr>
        <w:tc>
          <w:tcPr>
            <w:cnfStyle w:val="001000000000" w:firstRow="0" w:lastRow="0" w:firstColumn="1" w:lastColumn="0" w:oddVBand="0" w:evenVBand="0" w:oddHBand="0" w:evenHBand="0" w:firstRowFirstColumn="0" w:firstRowLastColumn="0" w:lastRowFirstColumn="0" w:lastRowLastColumn="0"/>
            <w:tcW w:w="597" w:type="dxa"/>
            <w:noWrap/>
            <w:vAlign w:val="center"/>
            <w:hideMark/>
          </w:tcPr>
          <w:p w14:paraId="68500794"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9</w:t>
            </w:r>
          </w:p>
        </w:tc>
        <w:tc>
          <w:tcPr>
            <w:tcW w:w="1890" w:type="dxa"/>
            <w:noWrap/>
            <w:vAlign w:val="center"/>
            <w:hideMark/>
          </w:tcPr>
          <w:p w14:paraId="613FB525"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Trabajadores no calificados, ocupaciones elementales</w:t>
            </w:r>
          </w:p>
        </w:tc>
        <w:tc>
          <w:tcPr>
            <w:tcW w:w="941" w:type="dxa"/>
            <w:noWrap/>
            <w:vAlign w:val="center"/>
            <w:hideMark/>
          </w:tcPr>
          <w:p w14:paraId="64153A5C"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78</w:t>
            </w:r>
          </w:p>
        </w:tc>
        <w:tc>
          <w:tcPr>
            <w:tcW w:w="1053" w:type="dxa"/>
            <w:vAlign w:val="center"/>
          </w:tcPr>
          <w:p w14:paraId="1D6CC72C"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79</w:t>
            </w:r>
          </w:p>
        </w:tc>
        <w:tc>
          <w:tcPr>
            <w:tcW w:w="963" w:type="dxa"/>
            <w:vAlign w:val="center"/>
          </w:tcPr>
          <w:p w14:paraId="71219E1A"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78,5</w:t>
            </w:r>
          </w:p>
        </w:tc>
        <w:tc>
          <w:tcPr>
            <w:tcW w:w="1623" w:type="dxa"/>
            <w:noWrap/>
            <w:vAlign w:val="center"/>
          </w:tcPr>
          <w:p w14:paraId="31BB3159"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78,5/852,5=9,1%</w:t>
            </w:r>
          </w:p>
        </w:tc>
        <w:tc>
          <w:tcPr>
            <w:tcW w:w="1069" w:type="dxa"/>
            <w:noWrap/>
            <w:vAlign w:val="center"/>
          </w:tcPr>
          <w:p w14:paraId="7560FE5E"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867*9,1%</w:t>
            </w:r>
          </w:p>
        </w:tc>
        <w:tc>
          <w:tcPr>
            <w:tcW w:w="1233" w:type="dxa"/>
            <w:noWrap/>
            <w:vAlign w:val="center"/>
            <w:hideMark/>
          </w:tcPr>
          <w:p w14:paraId="250B5097"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79</w:t>
            </w:r>
          </w:p>
        </w:tc>
      </w:tr>
      <w:tr w:rsidR="00924439" w:rsidRPr="00582936" w14:paraId="768C349C" w14:textId="77777777" w:rsidTr="00CF3585">
        <w:trPr>
          <w:trHeight w:val="101"/>
        </w:trPr>
        <w:tc>
          <w:tcPr>
            <w:cnfStyle w:val="001000000000" w:firstRow="0" w:lastRow="0" w:firstColumn="1" w:lastColumn="0" w:oddVBand="0" w:evenVBand="0" w:oddHBand="0" w:evenHBand="0" w:firstRowFirstColumn="0" w:firstRowLastColumn="0" w:lastRowFirstColumn="0" w:lastRowLastColumn="0"/>
            <w:tcW w:w="2487" w:type="dxa"/>
            <w:gridSpan w:val="2"/>
            <w:noWrap/>
            <w:vAlign w:val="center"/>
            <w:hideMark/>
          </w:tcPr>
          <w:p w14:paraId="56EB5072" w14:textId="77777777" w:rsidR="00924439" w:rsidRPr="00582936" w:rsidRDefault="00924439" w:rsidP="00924439">
            <w:pPr>
              <w:jc w:val="center"/>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Total personal ocupado</w:t>
            </w:r>
          </w:p>
        </w:tc>
        <w:tc>
          <w:tcPr>
            <w:tcW w:w="941" w:type="dxa"/>
            <w:noWrap/>
            <w:vAlign w:val="center"/>
            <w:hideMark/>
          </w:tcPr>
          <w:p w14:paraId="1C79FD4F"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868</w:t>
            </w:r>
          </w:p>
        </w:tc>
        <w:tc>
          <w:tcPr>
            <w:tcW w:w="1053" w:type="dxa"/>
            <w:vAlign w:val="center"/>
          </w:tcPr>
          <w:p w14:paraId="0EF775A7"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837</w:t>
            </w:r>
          </w:p>
        </w:tc>
        <w:tc>
          <w:tcPr>
            <w:tcW w:w="963" w:type="dxa"/>
            <w:vAlign w:val="center"/>
          </w:tcPr>
          <w:p w14:paraId="466932C0"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852,5</w:t>
            </w:r>
          </w:p>
        </w:tc>
        <w:tc>
          <w:tcPr>
            <w:tcW w:w="1623" w:type="dxa"/>
            <w:noWrap/>
            <w:vAlign w:val="center"/>
            <w:hideMark/>
          </w:tcPr>
          <w:p w14:paraId="4CCCDA99"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100%</w:t>
            </w:r>
          </w:p>
        </w:tc>
        <w:tc>
          <w:tcPr>
            <w:tcW w:w="2303" w:type="dxa"/>
            <w:gridSpan w:val="2"/>
            <w:noWrap/>
            <w:vAlign w:val="center"/>
            <w:hideMark/>
          </w:tcPr>
          <w:p w14:paraId="69EAFA2B" w14:textId="77777777" w:rsidR="00924439" w:rsidRPr="00582936" w:rsidRDefault="00924439" w:rsidP="00924439">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iCs/>
                <w:color w:val="6E6E7C"/>
                <w:sz w:val="16"/>
                <w:szCs w:val="16"/>
                <w:lang w:eastAsia="es-EC"/>
              </w:rPr>
            </w:pPr>
            <w:r w:rsidRPr="00582936">
              <w:rPr>
                <w:rFonts w:ascii="Century Gothic" w:eastAsia="Times New Roman" w:hAnsi="Century Gothic" w:cs="Calibri"/>
                <w:iCs/>
                <w:color w:val="6E6E7C"/>
                <w:sz w:val="16"/>
                <w:szCs w:val="16"/>
                <w:lang w:eastAsia="es-EC"/>
              </w:rPr>
              <w:t>867</w:t>
            </w:r>
          </w:p>
        </w:tc>
      </w:tr>
    </w:tbl>
    <w:p w14:paraId="7BCB4193" w14:textId="77777777" w:rsidR="00924439" w:rsidRPr="00582936" w:rsidRDefault="00924439" w:rsidP="00924439">
      <w:pPr>
        <w:spacing w:line="276" w:lineRule="auto"/>
        <w:ind w:firstLine="426"/>
        <w:jc w:val="both"/>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 xml:space="preserve">Fuente: </w:t>
      </w:r>
      <w:r w:rsidRPr="00582936">
        <w:rPr>
          <w:rFonts w:ascii="Century Gothic" w:eastAsia="Calibri" w:hAnsi="Century Gothic" w:cs="Calibri"/>
          <w:iCs/>
          <w:color w:val="6E6E7C"/>
          <w:sz w:val="16"/>
          <w:szCs w:val="16"/>
        </w:rPr>
        <w:t>Informe del uso del Registro administrativo en el “Capítulo V. Personal afiliado” de la ENESEM 2022.</w:t>
      </w:r>
    </w:p>
    <w:p w14:paraId="3F9F9CD0" w14:textId="77777777" w:rsidR="00924439" w:rsidRPr="00582936" w:rsidRDefault="00924439" w:rsidP="00924439">
      <w:pPr>
        <w:spacing w:after="200" w:line="276" w:lineRule="auto"/>
        <w:ind w:firstLine="426"/>
        <w:jc w:val="both"/>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Elaboración:</w:t>
      </w:r>
      <w:r w:rsidRPr="00582936">
        <w:rPr>
          <w:rFonts w:ascii="Century Gothic" w:eastAsia="Calibri" w:hAnsi="Century Gothic" w:cs="Calibri"/>
          <w:iCs/>
          <w:color w:val="6E6E7C"/>
          <w:sz w:val="16"/>
          <w:szCs w:val="16"/>
        </w:rPr>
        <w:t xml:space="preserve"> Gestión de Estadísticas Estructurales (GESE)</w:t>
      </w:r>
    </w:p>
    <w:p w14:paraId="694FAD81" w14:textId="77777777" w:rsidR="00924439" w:rsidRPr="00582936" w:rsidRDefault="00E51852" w:rsidP="00924439">
      <w:pPr>
        <w:spacing w:before="240" w:after="200" w:line="276" w:lineRule="auto"/>
        <w:jc w:val="both"/>
        <w:rPr>
          <w:rFonts w:ascii="Century Gothic" w:eastAsia="Calibri" w:hAnsi="Century Gothic" w:cs="Times New Roman"/>
          <w:iCs/>
          <w:color w:val="6E6E7C"/>
          <w:sz w:val="21"/>
          <w:szCs w:val="21"/>
          <w:lang w:eastAsia="es-EC"/>
        </w:rPr>
      </w:pPr>
      <w:r>
        <w:rPr>
          <w:rFonts w:ascii="Century Gothic" w:eastAsia="Calibri" w:hAnsi="Century Gothic" w:cs="Times New Roman"/>
          <w:iCs/>
          <w:color w:val="6E6E7C"/>
          <w:sz w:val="21"/>
          <w:szCs w:val="21"/>
          <w:lang w:eastAsia="es-EC"/>
        </w:rPr>
        <w:t xml:space="preserve">Así mismo, en la tabla </w:t>
      </w:r>
      <w:r w:rsidR="00CF3585">
        <w:rPr>
          <w:rFonts w:ascii="Century Gothic" w:eastAsia="Calibri" w:hAnsi="Century Gothic" w:cs="Times New Roman"/>
          <w:iCs/>
          <w:color w:val="6E6E7C"/>
          <w:sz w:val="21"/>
          <w:szCs w:val="21"/>
          <w:lang w:eastAsia="es-EC"/>
        </w:rPr>
        <w:t>10</w:t>
      </w:r>
      <w:r w:rsidR="00924439" w:rsidRPr="00582936">
        <w:rPr>
          <w:rFonts w:ascii="Century Gothic" w:eastAsia="Calibri" w:hAnsi="Century Gothic" w:cs="Times New Roman"/>
          <w:iCs/>
          <w:color w:val="6E6E7C"/>
          <w:sz w:val="21"/>
          <w:szCs w:val="21"/>
          <w:lang w:eastAsia="es-EC"/>
        </w:rPr>
        <w:t xml:space="preserve"> se ejemplifica el proceso de estimación para los casos no coincidentes, </w:t>
      </w:r>
      <w:r w:rsidR="00774831">
        <w:rPr>
          <w:rFonts w:ascii="Century Gothic" w:eastAsia="Calibri" w:hAnsi="Century Gothic" w:cs="Times New Roman"/>
          <w:iCs/>
          <w:color w:val="6E6E7C"/>
          <w:sz w:val="21"/>
          <w:szCs w:val="21"/>
          <w:lang w:eastAsia="es-EC"/>
        </w:rPr>
        <w:t>é</w:t>
      </w:r>
      <w:r w:rsidR="00924439" w:rsidRPr="00582936">
        <w:rPr>
          <w:rFonts w:ascii="Century Gothic" w:eastAsia="Calibri" w:hAnsi="Century Gothic" w:cs="Times New Roman"/>
          <w:iCs/>
          <w:color w:val="6E6E7C"/>
          <w:sz w:val="21"/>
          <w:szCs w:val="21"/>
          <w:lang w:eastAsia="es-EC"/>
        </w:rPr>
        <w:t xml:space="preserve">sta fue aplicada hacia empresas nuevas o para aquellas que no participaron de las rondas de la ENESEM 2019 y 2020; a fin de continuar con el uso de estructuras para el ejercicio de equiparación, se considera la estructura de participación de las empresas que pertenecen al grupo con desagregación a 4 dígitos y también un grupo con desagregación del CIIU a 2 dígitos. </w:t>
      </w:r>
    </w:p>
    <w:p w14:paraId="30C014D1" w14:textId="77777777" w:rsidR="00924439" w:rsidRPr="00582936" w:rsidRDefault="00924439" w:rsidP="004A6CED">
      <w:pPr>
        <w:spacing w:after="200"/>
        <w:jc w:val="center"/>
        <w:rPr>
          <w:rFonts w:ascii="Century Gothic" w:eastAsia="Calibri" w:hAnsi="Century Gothic" w:cs="Arial"/>
          <w:bCs/>
          <w:iCs/>
          <w:color w:val="6E6E7C"/>
          <w:sz w:val="18"/>
          <w:szCs w:val="18"/>
        </w:rPr>
      </w:pPr>
      <w:bookmarkStart w:id="287" w:name="_Toc128467619"/>
      <w:bookmarkStart w:id="288" w:name="_Toc130899617"/>
      <w:bookmarkStart w:id="289" w:name="_Toc157006149"/>
      <w:bookmarkStart w:id="290" w:name="_Toc157006974"/>
      <w:bookmarkStart w:id="291" w:name="_Toc157368490"/>
      <w:bookmarkStart w:id="292" w:name="_Toc157585785"/>
      <w:bookmarkStart w:id="293" w:name="_Toc157671122"/>
      <w:bookmarkStart w:id="294" w:name="_Toc158206888"/>
      <w:bookmarkStart w:id="295" w:name="_Toc161322604"/>
      <w:r w:rsidRPr="00582936">
        <w:rPr>
          <w:rFonts w:ascii="Century Gothic" w:eastAsia="Calibri" w:hAnsi="Century Gothic" w:cs="Arial"/>
          <w:b/>
          <w:bCs/>
          <w:iCs/>
          <w:color w:val="6E6E7C"/>
          <w:sz w:val="18"/>
          <w:szCs w:val="18"/>
        </w:rPr>
        <w:t xml:space="preserve">Tabla </w:t>
      </w:r>
      <w:r w:rsidRPr="00582936">
        <w:rPr>
          <w:rFonts w:ascii="Century Gothic" w:eastAsia="Calibri" w:hAnsi="Century Gothic" w:cs="Arial"/>
          <w:b/>
          <w:bCs/>
          <w:iCs/>
          <w:color w:val="6E6E7C"/>
          <w:sz w:val="18"/>
          <w:szCs w:val="18"/>
        </w:rPr>
        <w:fldChar w:fldCharType="begin"/>
      </w:r>
      <w:r w:rsidRPr="00582936">
        <w:rPr>
          <w:rFonts w:ascii="Century Gothic" w:eastAsia="Calibri" w:hAnsi="Century Gothic" w:cs="Arial"/>
          <w:b/>
          <w:bCs/>
          <w:iCs/>
          <w:color w:val="6E6E7C"/>
          <w:sz w:val="18"/>
          <w:szCs w:val="18"/>
        </w:rPr>
        <w:instrText xml:space="preserve"> SEQ Tabla \* ARABIC </w:instrText>
      </w:r>
      <w:r w:rsidRPr="00582936">
        <w:rPr>
          <w:rFonts w:ascii="Century Gothic" w:eastAsia="Calibri" w:hAnsi="Century Gothic" w:cs="Arial"/>
          <w:b/>
          <w:bCs/>
          <w:iCs/>
          <w:color w:val="6E6E7C"/>
          <w:sz w:val="18"/>
          <w:szCs w:val="18"/>
        </w:rPr>
        <w:fldChar w:fldCharType="separate"/>
      </w:r>
      <w:r w:rsidR="00CF3585">
        <w:rPr>
          <w:rFonts w:ascii="Century Gothic" w:eastAsia="Calibri" w:hAnsi="Century Gothic" w:cs="Arial"/>
          <w:b/>
          <w:bCs/>
          <w:iCs/>
          <w:noProof/>
          <w:color w:val="6E6E7C"/>
          <w:sz w:val="18"/>
          <w:szCs w:val="18"/>
        </w:rPr>
        <w:t>10</w:t>
      </w:r>
      <w:r w:rsidRPr="00582936">
        <w:rPr>
          <w:rFonts w:ascii="Century Gothic" w:eastAsia="Calibri" w:hAnsi="Century Gothic" w:cs="Arial"/>
          <w:b/>
          <w:bCs/>
          <w:iCs/>
          <w:color w:val="6E6E7C"/>
          <w:sz w:val="18"/>
          <w:szCs w:val="18"/>
        </w:rPr>
        <w:fldChar w:fldCharType="end"/>
      </w:r>
      <w:r w:rsidRPr="00582936">
        <w:rPr>
          <w:rFonts w:ascii="Century Gothic" w:eastAsia="Calibri" w:hAnsi="Century Gothic" w:cs="Arial"/>
          <w:b/>
          <w:bCs/>
          <w:iCs/>
          <w:color w:val="6E6E7C"/>
          <w:sz w:val="18"/>
          <w:szCs w:val="18"/>
        </w:rPr>
        <w:t>.</w:t>
      </w:r>
      <w:r w:rsidRPr="00582936">
        <w:rPr>
          <w:rFonts w:ascii="Century Gothic" w:eastAsia="Calibri" w:hAnsi="Century Gothic" w:cs="Arial"/>
          <w:bCs/>
          <w:iCs/>
          <w:color w:val="6E6E7C"/>
          <w:sz w:val="18"/>
          <w:szCs w:val="18"/>
        </w:rPr>
        <w:t xml:space="preserve"> </w:t>
      </w:r>
      <w:r>
        <w:rPr>
          <w:rFonts w:ascii="Century Gothic" w:eastAsia="Calibri" w:hAnsi="Century Gothic" w:cs="Arial"/>
          <w:bCs/>
          <w:iCs/>
          <w:color w:val="6E6E7C"/>
          <w:sz w:val="18"/>
          <w:szCs w:val="18"/>
        </w:rPr>
        <w:t>Ejemplificación del p</w:t>
      </w:r>
      <w:r w:rsidRPr="00582936">
        <w:rPr>
          <w:rFonts w:ascii="Century Gothic" w:eastAsia="Calibri" w:hAnsi="Century Gothic" w:cs="Arial"/>
          <w:bCs/>
          <w:iCs/>
          <w:color w:val="6E6E7C"/>
          <w:sz w:val="18"/>
          <w:szCs w:val="18"/>
        </w:rPr>
        <w:t>roceso de estimación del Capítulo V, casos no coincidentes</w:t>
      </w:r>
      <w:bookmarkEnd w:id="287"/>
      <w:bookmarkEnd w:id="288"/>
      <w:bookmarkEnd w:id="289"/>
      <w:bookmarkEnd w:id="290"/>
      <w:bookmarkEnd w:id="291"/>
      <w:bookmarkEnd w:id="292"/>
      <w:bookmarkEnd w:id="293"/>
      <w:bookmarkEnd w:id="294"/>
      <w:bookmarkEnd w:id="295"/>
    </w:p>
    <w:tbl>
      <w:tblPr>
        <w:tblW w:w="8456" w:type="dxa"/>
        <w:tblInd w:w="-10" w:type="dxa"/>
        <w:tblCellMar>
          <w:left w:w="70" w:type="dxa"/>
          <w:right w:w="70" w:type="dxa"/>
        </w:tblCellMar>
        <w:tblLook w:val="04A0" w:firstRow="1" w:lastRow="0" w:firstColumn="1" w:lastColumn="0" w:noHBand="0" w:noVBand="1"/>
      </w:tblPr>
      <w:tblGrid>
        <w:gridCol w:w="230"/>
        <w:gridCol w:w="3447"/>
        <w:gridCol w:w="1674"/>
        <w:gridCol w:w="1828"/>
        <w:gridCol w:w="1277"/>
      </w:tblGrid>
      <w:tr w:rsidR="00924439" w:rsidRPr="00582936" w14:paraId="730B0345" w14:textId="77777777" w:rsidTr="00460317">
        <w:trPr>
          <w:trHeight w:val="629"/>
        </w:trPr>
        <w:tc>
          <w:tcPr>
            <w:tcW w:w="0" w:type="auto"/>
            <w:gridSpan w:val="2"/>
            <w:vMerge w:val="restart"/>
            <w:tcBorders>
              <w:top w:val="single" w:sz="8" w:space="0" w:color="999999"/>
              <w:left w:val="single" w:sz="8" w:space="0" w:color="999999"/>
              <w:bottom w:val="single" w:sz="12" w:space="0" w:color="666666"/>
              <w:right w:val="single" w:sz="8" w:space="0" w:color="999999"/>
            </w:tcBorders>
            <w:shd w:val="clear" w:color="auto" w:fill="4266CE"/>
            <w:vAlign w:val="center"/>
            <w:hideMark/>
          </w:tcPr>
          <w:p w14:paraId="53EB5F6E"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Grupos de ocupación</w:t>
            </w:r>
          </w:p>
        </w:tc>
        <w:tc>
          <w:tcPr>
            <w:tcW w:w="0" w:type="auto"/>
            <w:tcBorders>
              <w:top w:val="single" w:sz="8" w:space="0" w:color="999999"/>
              <w:left w:val="nil"/>
              <w:bottom w:val="nil"/>
              <w:right w:val="single" w:sz="8" w:space="0" w:color="999999"/>
            </w:tcBorders>
            <w:shd w:val="clear" w:color="auto" w:fill="4266CE"/>
            <w:vAlign w:val="center"/>
            <w:hideMark/>
          </w:tcPr>
          <w:p w14:paraId="07B8E012"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Estructura del panel a 4/2 dígitos</w:t>
            </w:r>
          </w:p>
        </w:tc>
        <w:tc>
          <w:tcPr>
            <w:tcW w:w="0" w:type="auto"/>
            <w:tcBorders>
              <w:top w:val="single" w:sz="8" w:space="0" w:color="999999"/>
              <w:left w:val="nil"/>
              <w:bottom w:val="nil"/>
              <w:right w:val="single" w:sz="8" w:space="0" w:color="999999"/>
            </w:tcBorders>
            <w:shd w:val="clear" w:color="auto" w:fill="4266CE"/>
            <w:vAlign w:val="center"/>
            <w:hideMark/>
          </w:tcPr>
          <w:p w14:paraId="5A78D599"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Aplicación de estructura 4/2 dígitos</w:t>
            </w:r>
          </w:p>
        </w:tc>
        <w:tc>
          <w:tcPr>
            <w:tcW w:w="0" w:type="auto"/>
            <w:tcBorders>
              <w:top w:val="single" w:sz="8" w:space="0" w:color="999999"/>
              <w:left w:val="nil"/>
              <w:bottom w:val="nil"/>
              <w:right w:val="single" w:sz="8" w:space="0" w:color="999999"/>
            </w:tcBorders>
            <w:shd w:val="clear" w:color="auto" w:fill="4266CE"/>
            <w:vAlign w:val="center"/>
            <w:hideMark/>
          </w:tcPr>
          <w:p w14:paraId="68A73E39"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Valor precargado</w:t>
            </w:r>
          </w:p>
        </w:tc>
      </w:tr>
      <w:tr w:rsidR="00924439" w:rsidRPr="00582936" w14:paraId="2DB027BE" w14:textId="77777777" w:rsidTr="00460317">
        <w:trPr>
          <w:trHeight w:val="259"/>
        </w:trPr>
        <w:tc>
          <w:tcPr>
            <w:tcW w:w="0" w:type="auto"/>
            <w:gridSpan w:val="2"/>
            <w:vMerge/>
            <w:tcBorders>
              <w:top w:val="single" w:sz="8" w:space="0" w:color="999999"/>
              <w:left w:val="single" w:sz="8" w:space="0" w:color="999999"/>
              <w:bottom w:val="single" w:sz="12" w:space="0" w:color="666666"/>
              <w:right w:val="single" w:sz="8" w:space="0" w:color="999999"/>
            </w:tcBorders>
            <w:shd w:val="clear" w:color="auto" w:fill="4266CE"/>
            <w:vAlign w:val="center"/>
            <w:hideMark/>
          </w:tcPr>
          <w:p w14:paraId="088963DB" w14:textId="77777777" w:rsidR="00924439" w:rsidRPr="00460317" w:rsidRDefault="00924439" w:rsidP="00924439">
            <w:pPr>
              <w:rPr>
                <w:rFonts w:ascii="Century Gothic" w:eastAsia="Times New Roman" w:hAnsi="Century Gothic" w:cs="Calibri"/>
                <w:b/>
                <w:bCs/>
                <w:color w:val="FFFFFF" w:themeColor="background1"/>
                <w:sz w:val="16"/>
                <w:szCs w:val="16"/>
                <w:lang w:eastAsia="es-EC"/>
              </w:rPr>
            </w:pPr>
          </w:p>
        </w:tc>
        <w:tc>
          <w:tcPr>
            <w:tcW w:w="0" w:type="auto"/>
            <w:tcBorders>
              <w:top w:val="nil"/>
              <w:left w:val="nil"/>
              <w:bottom w:val="single" w:sz="12" w:space="0" w:color="666666"/>
              <w:right w:val="single" w:sz="8" w:space="0" w:color="999999"/>
            </w:tcBorders>
            <w:shd w:val="clear" w:color="auto" w:fill="4266CE"/>
            <w:vAlign w:val="center"/>
            <w:hideMark/>
          </w:tcPr>
          <w:p w14:paraId="19C890B8"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Col. (1)</w:t>
            </w:r>
          </w:p>
        </w:tc>
        <w:tc>
          <w:tcPr>
            <w:tcW w:w="0" w:type="auto"/>
            <w:tcBorders>
              <w:top w:val="nil"/>
              <w:left w:val="nil"/>
              <w:bottom w:val="single" w:sz="12" w:space="0" w:color="666666"/>
              <w:right w:val="single" w:sz="8" w:space="0" w:color="999999"/>
            </w:tcBorders>
            <w:shd w:val="clear" w:color="auto" w:fill="4266CE"/>
            <w:vAlign w:val="center"/>
            <w:hideMark/>
          </w:tcPr>
          <w:p w14:paraId="3E64933F"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Col. (2)</w:t>
            </w:r>
          </w:p>
        </w:tc>
        <w:tc>
          <w:tcPr>
            <w:tcW w:w="0" w:type="auto"/>
            <w:tcBorders>
              <w:top w:val="nil"/>
              <w:left w:val="nil"/>
              <w:bottom w:val="single" w:sz="12" w:space="0" w:color="666666"/>
              <w:right w:val="single" w:sz="8" w:space="0" w:color="999999"/>
            </w:tcBorders>
            <w:shd w:val="clear" w:color="auto" w:fill="4266CE"/>
            <w:vAlign w:val="center"/>
            <w:hideMark/>
          </w:tcPr>
          <w:p w14:paraId="3371BEC4"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Col. (3)</w:t>
            </w:r>
          </w:p>
        </w:tc>
      </w:tr>
      <w:tr w:rsidR="00924439" w:rsidRPr="00582936" w14:paraId="53C3B048" w14:textId="77777777" w:rsidTr="00CF3585">
        <w:trPr>
          <w:trHeight w:val="370"/>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59F162E3"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1</w:t>
            </w:r>
          </w:p>
        </w:tc>
        <w:tc>
          <w:tcPr>
            <w:tcW w:w="0" w:type="auto"/>
            <w:tcBorders>
              <w:top w:val="nil"/>
              <w:left w:val="nil"/>
              <w:bottom w:val="single" w:sz="8" w:space="0" w:color="999999"/>
              <w:right w:val="single" w:sz="8" w:space="0" w:color="999999"/>
            </w:tcBorders>
            <w:shd w:val="clear" w:color="auto" w:fill="auto"/>
            <w:vAlign w:val="center"/>
            <w:hideMark/>
          </w:tcPr>
          <w:p w14:paraId="1C6B8784"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Directores y Gerentes</w:t>
            </w:r>
          </w:p>
        </w:tc>
        <w:tc>
          <w:tcPr>
            <w:tcW w:w="0" w:type="auto"/>
            <w:tcBorders>
              <w:top w:val="nil"/>
              <w:left w:val="nil"/>
              <w:bottom w:val="single" w:sz="8" w:space="0" w:color="999999"/>
              <w:right w:val="single" w:sz="8" w:space="0" w:color="999999"/>
            </w:tcBorders>
            <w:shd w:val="clear" w:color="auto" w:fill="auto"/>
            <w:noWrap/>
            <w:vAlign w:val="center"/>
            <w:hideMark/>
          </w:tcPr>
          <w:p w14:paraId="643A9FC1"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2,30%</w:t>
            </w:r>
          </w:p>
        </w:tc>
        <w:tc>
          <w:tcPr>
            <w:tcW w:w="0" w:type="auto"/>
            <w:tcBorders>
              <w:top w:val="nil"/>
              <w:left w:val="nil"/>
              <w:bottom w:val="single" w:sz="8" w:space="0" w:color="999999"/>
              <w:right w:val="single" w:sz="8" w:space="0" w:color="999999"/>
            </w:tcBorders>
            <w:shd w:val="clear" w:color="auto" w:fill="auto"/>
            <w:noWrap/>
            <w:vAlign w:val="center"/>
            <w:hideMark/>
          </w:tcPr>
          <w:p w14:paraId="380F8FEC" w14:textId="77777777" w:rsidR="00924439" w:rsidRPr="00582936" w:rsidRDefault="00E1087C" w:rsidP="00924439">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22*2,3%</w:t>
            </w:r>
          </w:p>
        </w:tc>
        <w:tc>
          <w:tcPr>
            <w:tcW w:w="0" w:type="auto"/>
            <w:tcBorders>
              <w:top w:val="nil"/>
              <w:left w:val="nil"/>
              <w:bottom w:val="single" w:sz="8" w:space="0" w:color="999999"/>
              <w:right w:val="single" w:sz="8" w:space="0" w:color="999999"/>
            </w:tcBorders>
            <w:shd w:val="clear" w:color="auto" w:fill="auto"/>
            <w:noWrap/>
            <w:vAlign w:val="center"/>
            <w:hideMark/>
          </w:tcPr>
          <w:p w14:paraId="48111E49"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w:t>
            </w:r>
          </w:p>
        </w:tc>
      </w:tr>
      <w:tr w:rsidR="00924439" w:rsidRPr="00582936" w14:paraId="4DF15814" w14:textId="77777777" w:rsidTr="00CF3585">
        <w:trPr>
          <w:trHeight w:val="370"/>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154EAB3A"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2</w:t>
            </w:r>
          </w:p>
        </w:tc>
        <w:tc>
          <w:tcPr>
            <w:tcW w:w="0" w:type="auto"/>
            <w:tcBorders>
              <w:top w:val="nil"/>
              <w:left w:val="nil"/>
              <w:bottom w:val="single" w:sz="8" w:space="0" w:color="999999"/>
              <w:right w:val="single" w:sz="8" w:space="0" w:color="999999"/>
            </w:tcBorders>
            <w:shd w:val="clear" w:color="auto" w:fill="auto"/>
            <w:vAlign w:val="center"/>
            <w:hideMark/>
          </w:tcPr>
          <w:p w14:paraId="060B8739"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Profesionales, Científicos e Intelectuales</w:t>
            </w:r>
          </w:p>
        </w:tc>
        <w:tc>
          <w:tcPr>
            <w:tcW w:w="0" w:type="auto"/>
            <w:tcBorders>
              <w:top w:val="nil"/>
              <w:left w:val="nil"/>
              <w:bottom w:val="single" w:sz="8" w:space="0" w:color="999999"/>
              <w:right w:val="single" w:sz="8" w:space="0" w:color="999999"/>
            </w:tcBorders>
            <w:shd w:val="clear" w:color="auto" w:fill="auto"/>
            <w:noWrap/>
            <w:vAlign w:val="center"/>
            <w:hideMark/>
          </w:tcPr>
          <w:p w14:paraId="034F3D33"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7,90%</w:t>
            </w:r>
          </w:p>
        </w:tc>
        <w:tc>
          <w:tcPr>
            <w:tcW w:w="0" w:type="auto"/>
            <w:tcBorders>
              <w:top w:val="nil"/>
              <w:left w:val="nil"/>
              <w:bottom w:val="single" w:sz="8" w:space="0" w:color="999999"/>
              <w:right w:val="single" w:sz="8" w:space="0" w:color="999999"/>
            </w:tcBorders>
            <w:shd w:val="clear" w:color="auto" w:fill="auto"/>
            <w:noWrap/>
            <w:vAlign w:val="center"/>
            <w:hideMark/>
          </w:tcPr>
          <w:p w14:paraId="11EB7671" w14:textId="77777777" w:rsidR="00924439" w:rsidRPr="00582936" w:rsidRDefault="00924439" w:rsidP="00E1087C">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22*7,9%</w:t>
            </w:r>
          </w:p>
        </w:tc>
        <w:tc>
          <w:tcPr>
            <w:tcW w:w="0" w:type="auto"/>
            <w:tcBorders>
              <w:top w:val="nil"/>
              <w:left w:val="nil"/>
              <w:bottom w:val="single" w:sz="8" w:space="0" w:color="999999"/>
              <w:right w:val="single" w:sz="8" w:space="0" w:color="999999"/>
            </w:tcBorders>
            <w:shd w:val="clear" w:color="auto" w:fill="auto"/>
            <w:noWrap/>
            <w:vAlign w:val="center"/>
            <w:hideMark/>
          </w:tcPr>
          <w:p w14:paraId="112B8747"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w:t>
            </w:r>
          </w:p>
        </w:tc>
      </w:tr>
      <w:tr w:rsidR="00924439" w:rsidRPr="00582936" w14:paraId="0F137BDA" w14:textId="77777777" w:rsidTr="00CF3585">
        <w:trPr>
          <w:trHeight w:val="370"/>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3ECCD454"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3</w:t>
            </w:r>
          </w:p>
        </w:tc>
        <w:tc>
          <w:tcPr>
            <w:tcW w:w="0" w:type="auto"/>
            <w:tcBorders>
              <w:top w:val="nil"/>
              <w:left w:val="nil"/>
              <w:bottom w:val="single" w:sz="8" w:space="0" w:color="999999"/>
              <w:right w:val="single" w:sz="8" w:space="0" w:color="999999"/>
            </w:tcBorders>
            <w:shd w:val="clear" w:color="auto" w:fill="auto"/>
            <w:vAlign w:val="center"/>
            <w:hideMark/>
          </w:tcPr>
          <w:p w14:paraId="52FA64EB"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Técnicos y Profesionales de nivel medio</w:t>
            </w:r>
          </w:p>
        </w:tc>
        <w:tc>
          <w:tcPr>
            <w:tcW w:w="0" w:type="auto"/>
            <w:tcBorders>
              <w:top w:val="nil"/>
              <w:left w:val="nil"/>
              <w:bottom w:val="single" w:sz="8" w:space="0" w:color="999999"/>
              <w:right w:val="single" w:sz="8" w:space="0" w:color="999999"/>
            </w:tcBorders>
            <w:shd w:val="clear" w:color="auto" w:fill="auto"/>
            <w:noWrap/>
            <w:vAlign w:val="center"/>
            <w:hideMark/>
          </w:tcPr>
          <w:p w14:paraId="6AFE735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19,90%</w:t>
            </w:r>
          </w:p>
        </w:tc>
        <w:tc>
          <w:tcPr>
            <w:tcW w:w="0" w:type="auto"/>
            <w:tcBorders>
              <w:top w:val="nil"/>
              <w:left w:val="nil"/>
              <w:bottom w:val="single" w:sz="8" w:space="0" w:color="999999"/>
              <w:right w:val="single" w:sz="8" w:space="0" w:color="999999"/>
            </w:tcBorders>
            <w:shd w:val="clear" w:color="auto" w:fill="auto"/>
            <w:noWrap/>
            <w:vAlign w:val="center"/>
            <w:hideMark/>
          </w:tcPr>
          <w:p w14:paraId="3E9CE1D9" w14:textId="77777777" w:rsidR="00924439" w:rsidRPr="00582936" w:rsidRDefault="00924439" w:rsidP="00E1087C">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22*19,9%</w:t>
            </w:r>
          </w:p>
        </w:tc>
        <w:tc>
          <w:tcPr>
            <w:tcW w:w="0" w:type="auto"/>
            <w:tcBorders>
              <w:top w:val="nil"/>
              <w:left w:val="nil"/>
              <w:bottom w:val="single" w:sz="8" w:space="0" w:color="999999"/>
              <w:right w:val="single" w:sz="8" w:space="0" w:color="999999"/>
            </w:tcBorders>
            <w:shd w:val="clear" w:color="auto" w:fill="auto"/>
            <w:noWrap/>
            <w:vAlign w:val="center"/>
            <w:hideMark/>
          </w:tcPr>
          <w:p w14:paraId="23910FA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w:t>
            </w:r>
          </w:p>
        </w:tc>
      </w:tr>
      <w:tr w:rsidR="00924439" w:rsidRPr="00582936" w14:paraId="049572D3" w14:textId="77777777" w:rsidTr="00CF3585">
        <w:trPr>
          <w:trHeight w:val="456"/>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79831469"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lastRenderedPageBreak/>
              <w:t>4</w:t>
            </w:r>
          </w:p>
        </w:tc>
        <w:tc>
          <w:tcPr>
            <w:tcW w:w="0" w:type="auto"/>
            <w:tcBorders>
              <w:top w:val="nil"/>
              <w:left w:val="nil"/>
              <w:bottom w:val="single" w:sz="8" w:space="0" w:color="999999"/>
              <w:right w:val="single" w:sz="8" w:space="0" w:color="999999"/>
            </w:tcBorders>
            <w:shd w:val="clear" w:color="auto" w:fill="auto"/>
            <w:vAlign w:val="center"/>
            <w:hideMark/>
          </w:tcPr>
          <w:p w14:paraId="34B30585"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Personal de Apoyo administrativo / Empleados de oficina</w:t>
            </w:r>
          </w:p>
        </w:tc>
        <w:tc>
          <w:tcPr>
            <w:tcW w:w="0" w:type="auto"/>
            <w:tcBorders>
              <w:top w:val="nil"/>
              <w:left w:val="nil"/>
              <w:bottom w:val="single" w:sz="8" w:space="0" w:color="999999"/>
              <w:right w:val="single" w:sz="8" w:space="0" w:color="999999"/>
            </w:tcBorders>
            <w:shd w:val="clear" w:color="auto" w:fill="auto"/>
            <w:noWrap/>
            <w:vAlign w:val="center"/>
            <w:hideMark/>
          </w:tcPr>
          <w:p w14:paraId="52E77F1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4,20%</w:t>
            </w:r>
          </w:p>
        </w:tc>
        <w:tc>
          <w:tcPr>
            <w:tcW w:w="0" w:type="auto"/>
            <w:tcBorders>
              <w:top w:val="nil"/>
              <w:left w:val="nil"/>
              <w:bottom w:val="single" w:sz="8" w:space="0" w:color="999999"/>
              <w:right w:val="single" w:sz="8" w:space="0" w:color="999999"/>
            </w:tcBorders>
            <w:shd w:val="clear" w:color="auto" w:fill="auto"/>
            <w:noWrap/>
            <w:vAlign w:val="center"/>
            <w:hideMark/>
          </w:tcPr>
          <w:p w14:paraId="16031236" w14:textId="77777777" w:rsidR="00924439" w:rsidRPr="00582936" w:rsidRDefault="00924439" w:rsidP="00E1087C">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22*4,2%</w:t>
            </w:r>
          </w:p>
        </w:tc>
        <w:tc>
          <w:tcPr>
            <w:tcW w:w="0" w:type="auto"/>
            <w:tcBorders>
              <w:top w:val="nil"/>
              <w:left w:val="nil"/>
              <w:bottom w:val="single" w:sz="8" w:space="0" w:color="999999"/>
              <w:right w:val="single" w:sz="8" w:space="0" w:color="999999"/>
            </w:tcBorders>
            <w:shd w:val="clear" w:color="auto" w:fill="auto"/>
            <w:noWrap/>
            <w:vAlign w:val="center"/>
            <w:hideMark/>
          </w:tcPr>
          <w:p w14:paraId="0EDE6355"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w:t>
            </w:r>
          </w:p>
        </w:tc>
      </w:tr>
      <w:tr w:rsidR="00924439" w:rsidRPr="00582936" w14:paraId="4EAA882B" w14:textId="77777777" w:rsidTr="00CF3585">
        <w:trPr>
          <w:trHeight w:val="456"/>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7462ABF1"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5</w:t>
            </w:r>
          </w:p>
        </w:tc>
        <w:tc>
          <w:tcPr>
            <w:tcW w:w="0" w:type="auto"/>
            <w:tcBorders>
              <w:top w:val="nil"/>
              <w:left w:val="nil"/>
              <w:bottom w:val="single" w:sz="8" w:space="0" w:color="999999"/>
              <w:right w:val="single" w:sz="8" w:space="0" w:color="999999"/>
            </w:tcBorders>
            <w:shd w:val="clear" w:color="auto" w:fill="auto"/>
            <w:vAlign w:val="center"/>
            <w:hideMark/>
          </w:tcPr>
          <w:p w14:paraId="086B2B99"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Trabajadores de los Servicios y Vendedores de Comercios y Mercados</w:t>
            </w:r>
          </w:p>
        </w:tc>
        <w:tc>
          <w:tcPr>
            <w:tcW w:w="0" w:type="auto"/>
            <w:tcBorders>
              <w:top w:val="nil"/>
              <w:left w:val="nil"/>
              <w:bottom w:val="single" w:sz="8" w:space="0" w:color="999999"/>
              <w:right w:val="single" w:sz="8" w:space="0" w:color="999999"/>
            </w:tcBorders>
            <w:shd w:val="clear" w:color="auto" w:fill="auto"/>
            <w:noWrap/>
            <w:vAlign w:val="center"/>
            <w:hideMark/>
          </w:tcPr>
          <w:p w14:paraId="1274478E"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6,20%</w:t>
            </w:r>
          </w:p>
        </w:tc>
        <w:tc>
          <w:tcPr>
            <w:tcW w:w="0" w:type="auto"/>
            <w:tcBorders>
              <w:top w:val="nil"/>
              <w:left w:val="nil"/>
              <w:bottom w:val="single" w:sz="8" w:space="0" w:color="999999"/>
              <w:right w:val="single" w:sz="8" w:space="0" w:color="999999"/>
            </w:tcBorders>
            <w:shd w:val="clear" w:color="auto" w:fill="auto"/>
            <w:noWrap/>
            <w:vAlign w:val="center"/>
            <w:hideMark/>
          </w:tcPr>
          <w:p w14:paraId="11E9C431" w14:textId="77777777" w:rsidR="00924439" w:rsidRPr="00582936" w:rsidRDefault="00924439" w:rsidP="00E1087C">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22*6,2%</w:t>
            </w:r>
          </w:p>
        </w:tc>
        <w:tc>
          <w:tcPr>
            <w:tcW w:w="0" w:type="auto"/>
            <w:tcBorders>
              <w:top w:val="nil"/>
              <w:left w:val="nil"/>
              <w:bottom w:val="single" w:sz="8" w:space="0" w:color="999999"/>
              <w:right w:val="single" w:sz="8" w:space="0" w:color="999999"/>
            </w:tcBorders>
            <w:shd w:val="clear" w:color="auto" w:fill="auto"/>
            <w:noWrap/>
            <w:vAlign w:val="center"/>
            <w:hideMark/>
          </w:tcPr>
          <w:p w14:paraId="501848B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w:t>
            </w:r>
          </w:p>
        </w:tc>
      </w:tr>
      <w:tr w:rsidR="00924439" w:rsidRPr="00582936" w14:paraId="508A6DFD" w14:textId="77777777" w:rsidTr="00CF3585">
        <w:trPr>
          <w:trHeight w:val="456"/>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7F36C4D7"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6</w:t>
            </w:r>
          </w:p>
        </w:tc>
        <w:tc>
          <w:tcPr>
            <w:tcW w:w="0" w:type="auto"/>
            <w:tcBorders>
              <w:top w:val="nil"/>
              <w:left w:val="nil"/>
              <w:bottom w:val="single" w:sz="8" w:space="0" w:color="999999"/>
              <w:right w:val="single" w:sz="8" w:space="0" w:color="999999"/>
            </w:tcBorders>
            <w:shd w:val="clear" w:color="auto" w:fill="auto"/>
            <w:vAlign w:val="center"/>
            <w:hideMark/>
          </w:tcPr>
          <w:p w14:paraId="732A6988"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Agricultores y Trabajadores Calificados Agropecuarios, Forestales y Pesqueros</w:t>
            </w:r>
          </w:p>
        </w:tc>
        <w:tc>
          <w:tcPr>
            <w:tcW w:w="0" w:type="auto"/>
            <w:tcBorders>
              <w:top w:val="nil"/>
              <w:left w:val="nil"/>
              <w:bottom w:val="single" w:sz="8" w:space="0" w:color="999999"/>
              <w:right w:val="single" w:sz="8" w:space="0" w:color="999999"/>
            </w:tcBorders>
            <w:shd w:val="clear" w:color="auto" w:fill="auto"/>
            <w:noWrap/>
            <w:vAlign w:val="center"/>
            <w:hideMark/>
          </w:tcPr>
          <w:p w14:paraId="3D1F894E"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w:t>
            </w:r>
          </w:p>
        </w:tc>
        <w:tc>
          <w:tcPr>
            <w:tcW w:w="0" w:type="auto"/>
            <w:tcBorders>
              <w:top w:val="nil"/>
              <w:left w:val="nil"/>
              <w:bottom w:val="single" w:sz="8" w:space="0" w:color="999999"/>
              <w:right w:val="single" w:sz="8" w:space="0" w:color="999999"/>
            </w:tcBorders>
            <w:shd w:val="clear" w:color="auto" w:fill="auto"/>
            <w:noWrap/>
            <w:vAlign w:val="center"/>
            <w:hideMark/>
          </w:tcPr>
          <w:p w14:paraId="7DE35BC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w:t>
            </w:r>
          </w:p>
        </w:tc>
        <w:tc>
          <w:tcPr>
            <w:tcW w:w="0" w:type="auto"/>
            <w:tcBorders>
              <w:top w:val="nil"/>
              <w:left w:val="nil"/>
              <w:bottom w:val="single" w:sz="8" w:space="0" w:color="999999"/>
              <w:right w:val="single" w:sz="8" w:space="0" w:color="999999"/>
            </w:tcBorders>
            <w:shd w:val="clear" w:color="auto" w:fill="auto"/>
            <w:noWrap/>
            <w:vAlign w:val="center"/>
            <w:hideMark/>
          </w:tcPr>
          <w:p w14:paraId="16442D4C"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w:t>
            </w:r>
          </w:p>
        </w:tc>
      </w:tr>
      <w:tr w:rsidR="00924439" w:rsidRPr="00582936" w14:paraId="5192D638" w14:textId="77777777" w:rsidTr="00CF3585">
        <w:trPr>
          <w:trHeight w:val="456"/>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69AA5148"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7</w:t>
            </w:r>
          </w:p>
        </w:tc>
        <w:tc>
          <w:tcPr>
            <w:tcW w:w="0" w:type="auto"/>
            <w:tcBorders>
              <w:top w:val="nil"/>
              <w:left w:val="nil"/>
              <w:bottom w:val="single" w:sz="8" w:space="0" w:color="999999"/>
              <w:right w:val="single" w:sz="8" w:space="0" w:color="999999"/>
            </w:tcBorders>
            <w:shd w:val="clear" w:color="auto" w:fill="auto"/>
            <w:vAlign w:val="center"/>
            <w:hideMark/>
          </w:tcPr>
          <w:p w14:paraId="45FD3735"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Oficiales, Operarios y Artesanos de artes Mecánicas y de otros oficios</w:t>
            </w:r>
          </w:p>
        </w:tc>
        <w:tc>
          <w:tcPr>
            <w:tcW w:w="0" w:type="auto"/>
            <w:tcBorders>
              <w:top w:val="nil"/>
              <w:left w:val="nil"/>
              <w:bottom w:val="single" w:sz="8" w:space="0" w:color="999999"/>
              <w:right w:val="single" w:sz="8" w:space="0" w:color="999999"/>
            </w:tcBorders>
            <w:shd w:val="clear" w:color="auto" w:fill="auto"/>
            <w:noWrap/>
            <w:vAlign w:val="center"/>
            <w:hideMark/>
          </w:tcPr>
          <w:p w14:paraId="1E3BD65B"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w:t>
            </w:r>
          </w:p>
        </w:tc>
        <w:tc>
          <w:tcPr>
            <w:tcW w:w="0" w:type="auto"/>
            <w:tcBorders>
              <w:top w:val="nil"/>
              <w:left w:val="nil"/>
              <w:bottom w:val="single" w:sz="8" w:space="0" w:color="999999"/>
              <w:right w:val="single" w:sz="8" w:space="0" w:color="999999"/>
            </w:tcBorders>
            <w:shd w:val="clear" w:color="auto" w:fill="auto"/>
            <w:noWrap/>
            <w:vAlign w:val="center"/>
            <w:hideMark/>
          </w:tcPr>
          <w:p w14:paraId="789B1C53"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w:t>
            </w:r>
          </w:p>
        </w:tc>
        <w:tc>
          <w:tcPr>
            <w:tcW w:w="0" w:type="auto"/>
            <w:tcBorders>
              <w:top w:val="nil"/>
              <w:left w:val="nil"/>
              <w:bottom w:val="single" w:sz="8" w:space="0" w:color="999999"/>
              <w:right w:val="single" w:sz="8" w:space="0" w:color="999999"/>
            </w:tcBorders>
            <w:shd w:val="clear" w:color="auto" w:fill="auto"/>
            <w:noWrap/>
            <w:vAlign w:val="center"/>
            <w:hideMark/>
          </w:tcPr>
          <w:p w14:paraId="719A8FFD"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w:t>
            </w:r>
          </w:p>
        </w:tc>
      </w:tr>
      <w:tr w:rsidR="00924439" w:rsidRPr="00582936" w14:paraId="7FD464C5" w14:textId="77777777" w:rsidTr="00CF3585">
        <w:trPr>
          <w:trHeight w:val="456"/>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0930FF2F"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8</w:t>
            </w:r>
          </w:p>
        </w:tc>
        <w:tc>
          <w:tcPr>
            <w:tcW w:w="0" w:type="auto"/>
            <w:tcBorders>
              <w:top w:val="nil"/>
              <w:left w:val="nil"/>
              <w:bottom w:val="single" w:sz="8" w:space="0" w:color="999999"/>
              <w:right w:val="single" w:sz="8" w:space="0" w:color="999999"/>
            </w:tcBorders>
            <w:shd w:val="clear" w:color="auto" w:fill="auto"/>
            <w:vAlign w:val="center"/>
            <w:hideMark/>
          </w:tcPr>
          <w:p w14:paraId="37BA6393"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Operadores de Instalaciones y Máquinas y Ensambladores</w:t>
            </w:r>
          </w:p>
        </w:tc>
        <w:tc>
          <w:tcPr>
            <w:tcW w:w="0" w:type="auto"/>
            <w:tcBorders>
              <w:top w:val="nil"/>
              <w:left w:val="nil"/>
              <w:bottom w:val="single" w:sz="8" w:space="0" w:color="999999"/>
              <w:right w:val="single" w:sz="8" w:space="0" w:color="999999"/>
            </w:tcBorders>
            <w:shd w:val="clear" w:color="auto" w:fill="auto"/>
            <w:noWrap/>
            <w:vAlign w:val="center"/>
            <w:hideMark/>
          </w:tcPr>
          <w:p w14:paraId="048ACC6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33,50%</w:t>
            </w:r>
          </w:p>
        </w:tc>
        <w:tc>
          <w:tcPr>
            <w:tcW w:w="0" w:type="auto"/>
            <w:tcBorders>
              <w:top w:val="nil"/>
              <w:left w:val="nil"/>
              <w:bottom w:val="single" w:sz="8" w:space="0" w:color="999999"/>
              <w:right w:val="single" w:sz="8" w:space="0" w:color="999999"/>
            </w:tcBorders>
            <w:shd w:val="clear" w:color="auto" w:fill="auto"/>
            <w:noWrap/>
            <w:vAlign w:val="center"/>
            <w:hideMark/>
          </w:tcPr>
          <w:p w14:paraId="5BD068A1" w14:textId="77777777" w:rsidR="00924439" w:rsidRPr="00582936" w:rsidRDefault="00924439" w:rsidP="00E1087C">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22*33,5%</w:t>
            </w:r>
          </w:p>
        </w:tc>
        <w:tc>
          <w:tcPr>
            <w:tcW w:w="0" w:type="auto"/>
            <w:tcBorders>
              <w:top w:val="nil"/>
              <w:left w:val="nil"/>
              <w:bottom w:val="single" w:sz="8" w:space="0" w:color="999999"/>
              <w:right w:val="single" w:sz="8" w:space="0" w:color="999999"/>
            </w:tcBorders>
            <w:shd w:val="clear" w:color="auto" w:fill="auto"/>
            <w:noWrap/>
            <w:vAlign w:val="center"/>
            <w:hideMark/>
          </w:tcPr>
          <w:p w14:paraId="654AC0D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w:t>
            </w:r>
          </w:p>
        </w:tc>
      </w:tr>
      <w:tr w:rsidR="00924439" w:rsidRPr="00582936" w14:paraId="02715F35" w14:textId="77777777" w:rsidTr="00CF3585">
        <w:trPr>
          <w:trHeight w:val="456"/>
        </w:trPr>
        <w:tc>
          <w:tcPr>
            <w:tcW w:w="0" w:type="auto"/>
            <w:tcBorders>
              <w:top w:val="nil"/>
              <w:left w:val="single" w:sz="8" w:space="0" w:color="999999"/>
              <w:bottom w:val="single" w:sz="8" w:space="0" w:color="999999"/>
              <w:right w:val="single" w:sz="8" w:space="0" w:color="999999"/>
            </w:tcBorders>
            <w:shd w:val="clear" w:color="auto" w:fill="auto"/>
            <w:noWrap/>
            <w:vAlign w:val="center"/>
            <w:hideMark/>
          </w:tcPr>
          <w:p w14:paraId="122ADF04" w14:textId="77777777" w:rsidR="00924439" w:rsidRPr="00582936" w:rsidRDefault="00924439" w:rsidP="00924439">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9</w:t>
            </w:r>
          </w:p>
        </w:tc>
        <w:tc>
          <w:tcPr>
            <w:tcW w:w="0" w:type="auto"/>
            <w:tcBorders>
              <w:top w:val="nil"/>
              <w:left w:val="nil"/>
              <w:bottom w:val="single" w:sz="8" w:space="0" w:color="999999"/>
              <w:right w:val="single" w:sz="8" w:space="0" w:color="999999"/>
            </w:tcBorders>
            <w:shd w:val="clear" w:color="auto" w:fill="auto"/>
            <w:vAlign w:val="center"/>
            <w:hideMark/>
          </w:tcPr>
          <w:p w14:paraId="11BA6343" w14:textId="77777777" w:rsidR="00924439" w:rsidRPr="00582936" w:rsidRDefault="00924439" w:rsidP="00924439">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Trabajadores no calificados, Ocupaciones elementales</w:t>
            </w:r>
          </w:p>
        </w:tc>
        <w:tc>
          <w:tcPr>
            <w:tcW w:w="0" w:type="auto"/>
            <w:tcBorders>
              <w:top w:val="nil"/>
              <w:left w:val="nil"/>
              <w:bottom w:val="single" w:sz="8" w:space="0" w:color="999999"/>
              <w:right w:val="single" w:sz="8" w:space="0" w:color="999999"/>
            </w:tcBorders>
            <w:shd w:val="clear" w:color="auto" w:fill="auto"/>
            <w:noWrap/>
            <w:vAlign w:val="center"/>
            <w:hideMark/>
          </w:tcPr>
          <w:p w14:paraId="367ECDC5"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26,00%</w:t>
            </w:r>
          </w:p>
        </w:tc>
        <w:tc>
          <w:tcPr>
            <w:tcW w:w="0" w:type="auto"/>
            <w:tcBorders>
              <w:top w:val="nil"/>
              <w:left w:val="nil"/>
              <w:bottom w:val="single" w:sz="8" w:space="0" w:color="999999"/>
              <w:right w:val="single" w:sz="8" w:space="0" w:color="999999"/>
            </w:tcBorders>
            <w:shd w:val="clear" w:color="auto" w:fill="auto"/>
            <w:noWrap/>
            <w:vAlign w:val="center"/>
            <w:hideMark/>
          </w:tcPr>
          <w:p w14:paraId="39A8BC88" w14:textId="77777777" w:rsidR="00924439" w:rsidRPr="00582936" w:rsidRDefault="00924439" w:rsidP="00E1087C">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22*26,0%</w:t>
            </w:r>
          </w:p>
        </w:tc>
        <w:tc>
          <w:tcPr>
            <w:tcW w:w="0" w:type="auto"/>
            <w:tcBorders>
              <w:top w:val="nil"/>
              <w:left w:val="nil"/>
              <w:bottom w:val="single" w:sz="8" w:space="0" w:color="999999"/>
              <w:right w:val="single" w:sz="8" w:space="0" w:color="999999"/>
            </w:tcBorders>
            <w:shd w:val="clear" w:color="auto" w:fill="auto"/>
            <w:noWrap/>
            <w:vAlign w:val="center"/>
            <w:hideMark/>
          </w:tcPr>
          <w:p w14:paraId="19558F91"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w:t>
            </w:r>
          </w:p>
        </w:tc>
      </w:tr>
      <w:tr w:rsidR="00924439" w:rsidRPr="00582936" w14:paraId="373BC67B" w14:textId="77777777" w:rsidTr="00CF3585">
        <w:trPr>
          <w:trHeight w:val="259"/>
        </w:trPr>
        <w:tc>
          <w:tcPr>
            <w:tcW w:w="0" w:type="auto"/>
            <w:gridSpan w:val="2"/>
            <w:tcBorders>
              <w:top w:val="single" w:sz="8" w:space="0" w:color="999999"/>
              <w:left w:val="single" w:sz="8" w:space="0" w:color="999999"/>
              <w:bottom w:val="single" w:sz="8" w:space="0" w:color="999999"/>
              <w:right w:val="single" w:sz="8" w:space="0" w:color="999999"/>
            </w:tcBorders>
            <w:shd w:val="clear" w:color="auto" w:fill="auto"/>
            <w:noWrap/>
            <w:vAlign w:val="center"/>
            <w:hideMark/>
          </w:tcPr>
          <w:p w14:paraId="525E2A34"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Total</w:t>
            </w:r>
          </w:p>
        </w:tc>
        <w:tc>
          <w:tcPr>
            <w:tcW w:w="0" w:type="auto"/>
            <w:tcBorders>
              <w:top w:val="nil"/>
              <w:left w:val="nil"/>
              <w:bottom w:val="single" w:sz="8" w:space="0" w:color="999999"/>
              <w:right w:val="single" w:sz="8" w:space="0" w:color="999999"/>
            </w:tcBorders>
            <w:shd w:val="clear" w:color="auto" w:fill="auto"/>
            <w:noWrap/>
            <w:vAlign w:val="center"/>
            <w:hideMark/>
          </w:tcPr>
          <w:p w14:paraId="0185DE5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100%</w:t>
            </w:r>
          </w:p>
        </w:tc>
        <w:tc>
          <w:tcPr>
            <w:tcW w:w="0" w:type="auto"/>
            <w:tcBorders>
              <w:top w:val="nil"/>
              <w:left w:val="nil"/>
              <w:bottom w:val="single" w:sz="8" w:space="0" w:color="999999"/>
              <w:right w:val="single" w:sz="8" w:space="0" w:color="999999"/>
            </w:tcBorders>
            <w:shd w:val="clear" w:color="auto" w:fill="auto"/>
            <w:noWrap/>
            <w:vAlign w:val="center"/>
            <w:hideMark/>
          </w:tcPr>
          <w:p w14:paraId="07AF8B19"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w:t>
            </w:r>
          </w:p>
        </w:tc>
        <w:tc>
          <w:tcPr>
            <w:tcW w:w="0" w:type="auto"/>
            <w:tcBorders>
              <w:top w:val="nil"/>
              <w:left w:val="nil"/>
              <w:bottom w:val="single" w:sz="8" w:space="0" w:color="999999"/>
              <w:right w:val="single" w:sz="8" w:space="0" w:color="999999"/>
            </w:tcBorders>
            <w:shd w:val="clear" w:color="auto" w:fill="auto"/>
            <w:noWrap/>
            <w:vAlign w:val="center"/>
            <w:hideMark/>
          </w:tcPr>
          <w:p w14:paraId="7477E93D" w14:textId="77777777" w:rsidR="00924439" w:rsidRPr="00582936" w:rsidRDefault="00E1087C" w:rsidP="00924439">
            <w:pPr>
              <w:jc w:val="center"/>
              <w:rPr>
                <w:rFonts w:ascii="Century Gothic" w:eastAsia="Times New Roman" w:hAnsi="Century Gothic" w:cs="Calibri"/>
                <w:color w:val="6E6E7C"/>
                <w:sz w:val="16"/>
                <w:szCs w:val="16"/>
                <w:lang w:eastAsia="es-EC"/>
              </w:rPr>
            </w:pPr>
            <w:r>
              <w:rPr>
                <w:rFonts w:ascii="Century Gothic" w:eastAsia="Times New Roman" w:hAnsi="Century Gothic" w:cs="Calibri"/>
                <w:color w:val="6E6E7C"/>
                <w:sz w:val="16"/>
                <w:szCs w:val="16"/>
                <w:lang w:eastAsia="es-EC"/>
              </w:rPr>
              <w:t>22</w:t>
            </w:r>
          </w:p>
        </w:tc>
      </w:tr>
    </w:tbl>
    <w:p w14:paraId="0B3A1B8D" w14:textId="77777777" w:rsidR="00924439" w:rsidRPr="00582936" w:rsidRDefault="00924439" w:rsidP="00924439">
      <w:pPr>
        <w:spacing w:line="276" w:lineRule="auto"/>
        <w:ind w:firstLine="708"/>
        <w:jc w:val="both"/>
        <w:rPr>
          <w:rFonts w:ascii="Century Gothic" w:eastAsia="Calibri" w:hAnsi="Century Gothic" w:cs="Calibri"/>
          <w:iCs/>
          <w:color w:val="6E6E7C"/>
          <w:sz w:val="16"/>
          <w:szCs w:val="18"/>
        </w:rPr>
      </w:pPr>
      <w:r w:rsidRPr="00582936">
        <w:rPr>
          <w:rFonts w:ascii="Century Gothic" w:eastAsia="Calibri" w:hAnsi="Century Gothic" w:cs="Calibri"/>
          <w:b/>
          <w:iCs/>
          <w:color w:val="6E6E7C"/>
          <w:sz w:val="16"/>
          <w:szCs w:val="18"/>
        </w:rPr>
        <w:t xml:space="preserve">Fuente: </w:t>
      </w:r>
      <w:r w:rsidRPr="00582936">
        <w:rPr>
          <w:rFonts w:ascii="Century Gothic" w:eastAsia="Calibri" w:hAnsi="Century Gothic" w:cs="Calibri"/>
          <w:iCs/>
          <w:color w:val="6E6E7C"/>
          <w:sz w:val="16"/>
          <w:szCs w:val="18"/>
        </w:rPr>
        <w:t>Proceso de estimación de la Encuesta Estructural.</w:t>
      </w:r>
    </w:p>
    <w:p w14:paraId="4F3FB2E9" w14:textId="77777777" w:rsidR="00924439" w:rsidRPr="00582936" w:rsidRDefault="00924439" w:rsidP="00924439">
      <w:pPr>
        <w:spacing w:after="200" w:line="276" w:lineRule="auto"/>
        <w:ind w:firstLine="708"/>
        <w:jc w:val="both"/>
        <w:rPr>
          <w:rFonts w:ascii="Century Gothic" w:eastAsia="Calibri" w:hAnsi="Century Gothic" w:cs="Times New Roman"/>
          <w:iCs/>
          <w:color w:val="6E6E7C"/>
          <w:sz w:val="18"/>
          <w:szCs w:val="22"/>
          <w:lang w:eastAsia="es-EC"/>
        </w:rPr>
      </w:pPr>
      <w:r w:rsidRPr="00582936">
        <w:rPr>
          <w:rFonts w:ascii="Century Gothic" w:eastAsia="Calibri" w:hAnsi="Century Gothic" w:cs="Calibri"/>
          <w:b/>
          <w:iCs/>
          <w:color w:val="6E6E7C"/>
          <w:sz w:val="16"/>
          <w:szCs w:val="18"/>
        </w:rPr>
        <w:t>Elaboración:</w:t>
      </w:r>
      <w:r w:rsidRPr="00582936">
        <w:rPr>
          <w:rFonts w:ascii="Century Gothic" w:eastAsia="Calibri" w:hAnsi="Century Gothic" w:cs="Calibri"/>
          <w:iCs/>
          <w:color w:val="6E6E7C"/>
          <w:sz w:val="16"/>
          <w:szCs w:val="18"/>
        </w:rPr>
        <w:t xml:space="preserve"> Gestión de Estadísticas Estructurales (GESE)</w:t>
      </w:r>
    </w:p>
    <w:p w14:paraId="59BF6172" w14:textId="77777777" w:rsidR="00924439" w:rsidRPr="00582936" w:rsidRDefault="00924439" w:rsidP="00924439">
      <w:pPr>
        <w:tabs>
          <w:tab w:val="left" w:pos="3574"/>
        </w:tabs>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0"/>
          <w:szCs w:val="22"/>
          <w:lang w:eastAsia="es-EC"/>
        </w:rPr>
        <w:t xml:space="preserve">A continuación, se describe la forma en la que se obtiene los resultados de cada una </w:t>
      </w:r>
      <w:r w:rsidR="00E51852">
        <w:rPr>
          <w:rFonts w:ascii="Century Gothic" w:eastAsia="Calibri" w:hAnsi="Century Gothic" w:cs="Times New Roman"/>
          <w:iCs/>
          <w:color w:val="6E6E7C"/>
          <w:sz w:val="21"/>
          <w:szCs w:val="21"/>
          <w:lang w:eastAsia="es-EC"/>
        </w:rPr>
        <w:t>de las columnas de la tabla 1</w:t>
      </w:r>
      <w:r w:rsidR="00CF3585">
        <w:rPr>
          <w:rFonts w:ascii="Century Gothic" w:eastAsia="Calibri" w:hAnsi="Century Gothic" w:cs="Times New Roman"/>
          <w:iCs/>
          <w:color w:val="6E6E7C"/>
          <w:sz w:val="21"/>
          <w:szCs w:val="21"/>
          <w:lang w:eastAsia="es-EC"/>
        </w:rPr>
        <w:t>0</w:t>
      </w:r>
      <w:r w:rsidRPr="00582936">
        <w:rPr>
          <w:rFonts w:ascii="Century Gothic" w:eastAsia="Calibri" w:hAnsi="Century Gothic" w:cs="Times New Roman"/>
          <w:iCs/>
          <w:color w:val="6E6E7C"/>
          <w:sz w:val="21"/>
          <w:szCs w:val="21"/>
          <w:lang w:eastAsia="es-EC"/>
        </w:rPr>
        <w:t xml:space="preserve">. </w:t>
      </w:r>
    </w:p>
    <w:p w14:paraId="1E0A3339" w14:textId="77777777" w:rsidR="00924439" w:rsidRPr="00582936" w:rsidRDefault="00924439" w:rsidP="00E5524A">
      <w:pPr>
        <w:numPr>
          <w:ilvl w:val="0"/>
          <w:numId w:val="29"/>
        </w:numPr>
        <w:tabs>
          <w:tab w:val="left" w:pos="3574"/>
        </w:tabs>
        <w:spacing w:after="200" w:line="276" w:lineRule="auto"/>
        <w:contextualSpacing/>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Columna 1: Se obtiene con el promedio de participación de cada categoría de ocupación de las empresas que pertenecen al respectivo CIIU (4 o 2 dígitos del CIIU, según corresponda). </w:t>
      </w:r>
    </w:p>
    <w:p w14:paraId="085BDF43" w14:textId="77777777" w:rsidR="00924439" w:rsidRPr="00582936" w:rsidRDefault="00924439" w:rsidP="00E5524A">
      <w:pPr>
        <w:numPr>
          <w:ilvl w:val="0"/>
          <w:numId w:val="29"/>
        </w:numPr>
        <w:tabs>
          <w:tab w:val="left" w:pos="3574"/>
        </w:tabs>
        <w:spacing w:after="200" w:line="276" w:lineRule="auto"/>
        <w:contextualSpacing/>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Columna 2: Se multiplica el valor del registro administrativo, de cada empresa, por el porcentaje de participación de cada categoría de ocupación (columna 1 de la tabla </w:t>
      </w:r>
      <w:r w:rsidR="00CF3585">
        <w:rPr>
          <w:rFonts w:ascii="Century Gothic" w:eastAsia="Calibri" w:hAnsi="Century Gothic" w:cs="Times New Roman"/>
          <w:iCs/>
          <w:color w:val="6E6E7C"/>
          <w:sz w:val="21"/>
          <w:szCs w:val="21"/>
          <w:lang w:eastAsia="es-EC"/>
        </w:rPr>
        <w:t>10</w:t>
      </w:r>
      <w:r w:rsidRPr="00582936">
        <w:rPr>
          <w:rFonts w:ascii="Century Gothic" w:eastAsia="Calibri" w:hAnsi="Century Gothic" w:cs="Times New Roman"/>
          <w:iCs/>
          <w:color w:val="6E6E7C"/>
          <w:sz w:val="21"/>
          <w:szCs w:val="21"/>
          <w:lang w:eastAsia="es-EC"/>
        </w:rPr>
        <w:t xml:space="preserve">). </w:t>
      </w:r>
    </w:p>
    <w:p w14:paraId="4790C0BE" w14:textId="77777777" w:rsidR="00924439" w:rsidRPr="00582936" w:rsidRDefault="00924439" w:rsidP="00E5524A">
      <w:pPr>
        <w:numPr>
          <w:ilvl w:val="0"/>
          <w:numId w:val="29"/>
        </w:numPr>
        <w:tabs>
          <w:tab w:val="left" w:pos="3574"/>
        </w:tabs>
        <w:spacing w:after="200" w:line="276" w:lineRule="auto"/>
        <w:contextualSpacing/>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Columna 3: Es el producto de la operación realizada anteriormente, estos serán los valores finales que se precargarán en el sistema INFOCAPT.</w:t>
      </w:r>
    </w:p>
    <w:p w14:paraId="173F03BB" w14:textId="77777777" w:rsidR="00924439" w:rsidRPr="0085217B" w:rsidRDefault="00924439" w:rsidP="00924439">
      <w:pPr>
        <w:spacing w:after="200" w:line="276" w:lineRule="auto"/>
        <w:jc w:val="both"/>
        <w:rPr>
          <w:rFonts w:ascii="Century Gothic" w:eastAsia="Calibri" w:hAnsi="Century Gothic" w:cs="Times New Roman"/>
          <w:iCs/>
          <w:color w:val="6E6E7C"/>
          <w:sz w:val="4"/>
          <w:szCs w:val="21"/>
        </w:rPr>
      </w:pPr>
    </w:p>
    <w:p w14:paraId="677ED414" w14:textId="77777777" w:rsidR="00CF3585" w:rsidRDefault="00924439" w:rsidP="00CF3585">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Por último, en busca de salvaguardar la calidad de la información de la ENESEM y mantener un equilibrio entre los diferentes sectores económicos, se utilizó un tercer proceso aplicado a empresas que fueron fusionadas y pertenecían a sectores económicos diferentes. </w:t>
      </w:r>
      <w:bookmarkStart w:id="296" w:name="_Toc157006150"/>
      <w:bookmarkStart w:id="297" w:name="_Toc157006975"/>
      <w:bookmarkStart w:id="298" w:name="_Toc157368491"/>
      <w:bookmarkStart w:id="299" w:name="_Toc157585786"/>
      <w:bookmarkStart w:id="300" w:name="_Toc157671123"/>
      <w:bookmarkStart w:id="301" w:name="_Toc158206889"/>
    </w:p>
    <w:p w14:paraId="079AF77C" w14:textId="77777777" w:rsidR="00924439" w:rsidRPr="00582936" w:rsidRDefault="00924439" w:rsidP="00CF3585">
      <w:pPr>
        <w:spacing w:after="200" w:line="276" w:lineRule="auto"/>
        <w:jc w:val="center"/>
        <w:rPr>
          <w:rFonts w:ascii="Century Gothic" w:eastAsia="Calibri" w:hAnsi="Century Gothic" w:cs="Arial"/>
          <w:bCs/>
          <w:iCs/>
          <w:color w:val="6E6E7C"/>
          <w:sz w:val="18"/>
          <w:szCs w:val="18"/>
        </w:rPr>
      </w:pPr>
      <w:bookmarkStart w:id="302" w:name="_Toc161322605"/>
      <w:r w:rsidRPr="00582936">
        <w:rPr>
          <w:rFonts w:ascii="Century Gothic" w:eastAsia="Calibri" w:hAnsi="Century Gothic" w:cs="Arial"/>
          <w:b/>
          <w:bCs/>
          <w:iCs/>
          <w:color w:val="6E6E7C"/>
          <w:sz w:val="18"/>
          <w:szCs w:val="18"/>
        </w:rPr>
        <w:t xml:space="preserve">Tabla </w:t>
      </w:r>
      <w:r w:rsidRPr="00582936">
        <w:rPr>
          <w:rFonts w:ascii="Century Gothic" w:eastAsia="Calibri" w:hAnsi="Century Gothic" w:cs="Arial"/>
          <w:b/>
          <w:bCs/>
          <w:iCs/>
          <w:color w:val="6E6E7C"/>
          <w:sz w:val="18"/>
          <w:szCs w:val="18"/>
        </w:rPr>
        <w:fldChar w:fldCharType="begin"/>
      </w:r>
      <w:r w:rsidRPr="00582936">
        <w:rPr>
          <w:rFonts w:ascii="Century Gothic" w:eastAsia="Calibri" w:hAnsi="Century Gothic" w:cs="Arial"/>
          <w:b/>
          <w:bCs/>
          <w:iCs/>
          <w:color w:val="6E6E7C"/>
          <w:sz w:val="18"/>
          <w:szCs w:val="18"/>
        </w:rPr>
        <w:instrText xml:space="preserve"> SEQ Tabla \* ARABIC </w:instrText>
      </w:r>
      <w:r w:rsidRPr="00582936">
        <w:rPr>
          <w:rFonts w:ascii="Century Gothic" w:eastAsia="Calibri" w:hAnsi="Century Gothic" w:cs="Arial"/>
          <w:b/>
          <w:bCs/>
          <w:iCs/>
          <w:color w:val="6E6E7C"/>
          <w:sz w:val="18"/>
          <w:szCs w:val="18"/>
        </w:rPr>
        <w:fldChar w:fldCharType="separate"/>
      </w:r>
      <w:r w:rsidR="00CF3585">
        <w:rPr>
          <w:rFonts w:ascii="Century Gothic" w:eastAsia="Calibri" w:hAnsi="Century Gothic" w:cs="Arial"/>
          <w:b/>
          <w:bCs/>
          <w:iCs/>
          <w:noProof/>
          <w:color w:val="6E6E7C"/>
          <w:sz w:val="18"/>
          <w:szCs w:val="18"/>
        </w:rPr>
        <w:t>11</w:t>
      </w:r>
      <w:r w:rsidRPr="00582936">
        <w:rPr>
          <w:rFonts w:ascii="Century Gothic" w:eastAsia="Calibri" w:hAnsi="Century Gothic" w:cs="Arial"/>
          <w:b/>
          <w:bCs/>
          <w:iCs/>
          <w:color w:val="6E6E7C"/>
          <w:sz w:val="18"/>
          <w:szCs w:val="18"/>
        </w:rPr>
        <w:fldChar w:fldCharType="end"/>
      </w:r>
      <w:r w:rsidRPr="00582936">
        <w:rPr>
          <w:rFonts w:ascii="Century Gothic" w:eastAsia="Calibri" w:hAnsi="Century Gothic" w:cs="Arial"/>
          <w:b/>
          <w:bCs/>
          <w:iCs/>
          <w:color w:val="6E6E7C"/>
          <w:sz w:val="18"/>
          <w:szCs w:val="18"/>
        </w:rPr>
        <w:t>.</w:t>
      </w:r>
      <w:r w:rsidRPr="00582936">
        <w:rPr>
          <w:rFonts w:ascii="Century Gothic" w:eastAsia="Calibri" w:hAnsi="Century Gothic" w:cs="Arial"/>
          <w:bCs/>
          <w:iCs/>
          <w:color w:val="6E6E7C"/>
          <w:sz w:val="18"/>
          <w:szCs w:val="18"/>
        </w:rPr>
        <w:t xml:space="preserve"> Proceso de estimación del Capítulo V, fusión de empresas</w:t>
      </w:r>
      <w:bookmarkEnd w:id="296"/>
      <w:bookmarkEnd w:id="297"/>
      <w:bookmarkEnd w:id="298"/>
      <w:bookmarkEnd w:id="299"/>
      <w:bookmarkEnd w:id="300"/>
      <w:bookmarkEnd w:id="301"/>
      <w:bookmarkEnd w:id="302"/>
    </w:p>
    <w:tbl>
      <w:tblPr>
        <w:tblW w:w="10725" w:type="dxa"/>
        <w:tblInd w:w="-1079" w:type="dxa"/>
        <w:tblLayout w:type="fixed"/>
        <w:tblCellMar>
          <w:left w:w="70" w:type="dxa"/>
          <w:right w:w="70" w:type="dxa"/>
        </w:tblCellMar>
        <w:tblLook w:val="04A0" w:firstRow="1" w:lastRow="0" w:firstColumn="1" w:lastColumn="0" w:noHBand="0" w:noVBand="1"/>
      </w:tblPr>
      <w:tblGrid>
        <w:gridCol w:w="1287"/>
        <w:gridCol w:w="858"/>
        <w:gridCol w:w="857"/>
        <w:gridCol w:w="1002"/>
        <w:gridCol w:w="1144"/>
        <w:gridCol w:w="1001"/>
        <w:gridCol w:w="1144"/>
        <w:gridCol w:w="1144"/>
        <w:gridCol w:w="1144"/>
        <w:gridCol w:w="1144"/>
      </w:tblGrid>
      <w:tr w:rsidR="00924439" w:rsidRPr="00582936" w14:paraId="33EA6831" w14:textId="77777777" w:rsidTr="00460317">
        <w:trPr>
          <w:trHeight w:val="639"/>
        </w:trPr>
        <w:tc>
          <w:tcPr>
            <w:tcW w:w="1287" w:type="dxa"/>
            <w:tcBorders>
              <w:top w:val="single" w:sz="8" w:space="0" w:color="auto"/>
              <w:left w:val="single" w:sz="8" w:space="0" w:color="auto"/>
              <w:bottom w:val="single" w:sz="8" w:space="0" w:color="auto"/>
              <w:right w:val="single" w:sz="8" w:space="0" w:color="auto"/>
            </w:tcBorders>
            <w:shd w:val="clear" w:color="auto" w:fill="4266CE"/>
            <w:vAlign w:val="center"/>
            <w:hideMark/>
          </w:tcPr>
          <w:p w14:paraId="5F14F8F5"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Empresa</w:t>
            </w:r>
          </w:p>
        </w:tc>
        <w:tc>
          <w:tcPr>
            <w:tcW w:w="858" w:type="dxa"/>
            <w:tcBorders>
              <w:top w:val="single" w:sz="8" w:space="0" w:color="auto"/>
              <w:left w:val="nil"/>
              <w:bottom w:val="single" w:sz="8" w:space="0" w:color="auto"/>
              <w:right w:val="single" w:sz="8" w:space="0" w:color="auto"/>
            </w:tcBorders>
            <w:shd w:val="clear" w:color="auto" w:fill="4266CE"/>
            <w:vAlign w:val="center"/>
            <w:hideMark/>
          </w:tcPr>
          <w:p w14:paraId="429FAF96"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Hombres</w:t>
            </w:r>
          </w:p>
        </w:tc>
        <w:tc>
          <w:tcPr>
            <w:tcW w:w="857" w:type="dxa"/>
            <w:tcBorders>
              <w:top w:val="single" w:sz="8" w:space="0" w:color="auto"/>
              <w:left w:val="nil"/>
              <w:bottom w:val="single" w:sz="8" w:space="0" w:color="auto"/>
              <w:right w:val="single" w:sz="8" w:space="0" w:color="auto"/>
            </w:tcBorders>
            <w:shd w:val="clear" w:color="auto" w:fill="4266CE"/>
            <w:vAlign w:val="center"/>
            <w:hideMark/>
          </w:tcPr>
          <w:p w14:paraId="031FEC81"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Mujeres</w:t>
            </w:r>
          </w:p>
        </w:tc>
        <w:tc>
          <w:tcPr>
            <w:tcW w:w="1002" w:type="dxa"/>
            <w:tcBorders>
              <w:top w:val="single" w:sz="8" w:space="0" w:color="auto"/>
              <w:left w:val="nil"/>
              <w:bottom w:val="single" w:sz="8" w:space="0" w:color="auto"/>
              <w:right w:val="single" w:sz="8" w:space="0" w:color="auto"/>
            </w:tcBorders>
            <w:shd w:val="clear" w:color="auto" w:fill="4266CE"/>
            <w:vAlign w:val="center"/>
            <w:hideMark/>
          </w:tcPr>
          <w:p w14:paraId="7AC0D0A0"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Total personal</w:t>
            </w:r>
          </w:p>
        </w:tc>
        <w:tc>
          <w:tcPr>
            <w:tcW w:w="1144" w:type="dxa"/>
            <w:tcBorders>
              <w:top w:val="single" w:sz="8" w:space="0" w:color="auto"/>
              <w:left w:val="nil"/>
              <w:bottom w:val="single" w:sz="8" w:space="0" w:color="auto"/>
              <w:right w:val="single" w:sz="8" w:space="0" w:color="auto"/>
            </w:tcBorders>
            <w:shd w:val="clear" w:color="auto" w:fill="4266CE"/>
            <w:vAlign w:val="center"/>
            <w:hideMark/>
          </w:tcPr>
          <w:p w14:paraId="52107A12"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 xml:space="preserve">Salarios Noviembre Hombres </w:t>
            </w:r>
          </w:p>
        </w:tc>
        <w:tc>
          <w:tcPr>
            <w:tcW w:w="1001" w:type="dxa"/>
            <w:tcBorders>
              <w:top w:val="single" w:sz="8" w:space="0" w:color="auto"/>
              <w:left w:val="nil"/>
              <w:bottom w:val="single" w:sz="8" w:space="0" w:color="auto"/>
              <w:right w:val="single" w:sz="8" w:space="0" w:color="auto"/>
            </w:tcBorders>
            <w:shd w:val="clear" w:color="auto" w:fill="4266CE"/>
            <w:vAlign w:val="center"/>
            <w:hideMark/>
          </w:tcPr>
          <w:p w14:paraId="5D27DD54"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 xml:space="preserve">Salarios Noviembre Mujeres </w:t>
            </w:r>
          </w:p>
        </w:tc>
        <w:tc>
          <w:tcPr>
            <w:tcW w:w="1144" w:type="dxa"/>
            <w:tcBorders>
              <w:top w:val="single" w:sz="8" w:space="0" w:color="auto"/>
              <w:left w:val="nil"/>
              <w:bottom w:val="single" w:sz="8" w:space="0" w:color="auto"/>
              <w:right w:val="single" w:sz="8" w:space="0" w:color="auto"/>
            </w:tcBorders>
            <w:shd w:val="clear" w:color="auto" w:fill="4266CE"/>
            <w:vAlign w:val="center"/>
            <w:hideMark/>
          </w:tcPr>
          <w:p w14:paraId="5D62C2B8"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 xml:space="preserve">Salarios Noviembre Total </w:t>
            </w:r>
          </w:p>
        </w:tc>
        <w:tc>
          <w:tcPr>
            <w:tcW w:w="1144" w:type="dxa"/>
            <w:tcBorders>
              <w:top w:val="single" w:sz="8" w:space="0" w:color="auto"/>
              <w:left w:val="nil"/>
              <w:bottom w:val="single" w:sz="8" w:space="0" w:color="auto"/>
              <w:right w:val="single" w:sz="8" w:space="0" w:color="auto"/>
            </w:tcBorders>
            <w:shd w:val="clear" w:color="auto" w:fill="4266CE"/>
            <w:vAlign w:val="center"/>
            <w:hideMark/>
          </w:tcPr>
          <w:p w14:paraId="30D4F991"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 xml:space="preserve">Salarios Anual Hombres </w:t>
            </w:r>
          </w:p>
        </w:tc>
        <w:tc>
          <w:tcPr>
            <w:tcW w:w="1144" w:type="dxa"/>
            <w:tcBorders>
              <w:top w:val="single" w:sz="8" w:space="0" w:color="auto"/>
              <w:left w:val="nil"/>
              <w:bottom w:val="single" w:sz="8" w:space="0" w:color="auto"/>
              <w:right w:val="single" w:sz="8" w:space="0" w:color="auto"/>
            </w:tcBorders>
            <w:shd w:val="clear" w:color="auto" w:fill="4266CE"/>
            <w:vAlign w:val="center"/>
            <w:hideMark/>
          </w:tcPr>
          <w:p w14:paraId="7576F8A7"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 xml:space="preserve">Salarios Anual Mujeres </w:t>
            </w:r>
          </w:p>
        </w:tc>
        <w:tc>
          <w:tcPr>
            <w:tcW w:w="1144" w:type="dxa"/>
            <w:tcBorders>
              <w:top w:val="single" w:sz="8" w:space="0" w:color="auto"/>
              <w:left w:val="nil"/>
              <w:bottom w:val="single" w:sz="8" w:space="0" w:color="auto"/>
              <w:right w:val="single" w:sz="8" w:space="0" w:color="auto"/>
            </w:tcBorders>
            <w:shd w:val="clear" w:color="auto" w:fill="4266CE"/>
            <w:vAlign w:val="center"/>
            <w:hideMark/>
          </w:tcPr>
          <w:p w14:paraId="702E1BB8" w14:textId="77777777" w:rsidR="00924439" w:rsidRPr="00460317" w:rsidRDefault="00924439" w:rsidP="00924439">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 xml:space="preserve">Salarios Anual Total </w:t>
            </w:r>
          </w:p>
        </w:tc>
      </w:tr>
      <w:tr w:rsidR="00924439" w:rsidRPr="00582936" w14:paraId="1A07E7FB" w14:textId="77777777" w:rsidTr="00BA7D1F">
        <w:trPr>
          <w:trHeight w:val="455"/>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42ABED80"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Empresa 1 2021</w:t>
            </w:r>
          </w:p>
        </w:tc>
        <w:tc>
          <w:tcPr>
            <w:tcW w:w="858" w:type="dxa"/>
            <w:tcBorders>
              <w:top w:val="nil"/>
              <w:left w:val="nil"/>
              <w:bottom w:val="single" w:sz="8" w:space="0" w:color="auto"/>
              <w:right w:val="single" w:sz="8" w:space="0" w:color="auto"/>
            </w:tcBorders>
            <w:shd w:val="clear" w:color="auto" w:fill="auto"/>
            <w:noWrap/>
            <w:vAlign w:val="center"/>
            <w:hideMark/>
          </w:tcPr>
          <w:p w14:paraId="58C32F33"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2.892</w:t>
            </w:r>
          </w:p>
        </w:tc>
        <w:tc>
          <w:tcPr>
            <w:tcW w:w="857" w:type="dxa"/>
            <w:tcBorders>
              <w:top w:val="nil"/>
              <w:left w:val="nil"/>
              <w:bottom w:val="single" w:sz="8" w:space="0" w:color="auto"/>
              <w:right w:val="single" w:sz="8" w:space="0" w:color="auto"/>
            </w:tcBorders>
            <w:shd w:val="clear" w:color="auto" w:fill="auto"/>
            <w:noWrap/>
            <w:vAlign w:val="center"/>
            <w:hideMark/>
          </w:tcPr>
          <w:p w14:paraId="52F6A05A"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626</w:t>
            </w:r>
          </w:p>
        </w:tc>
        <w:tc>
          <w:tcPr>
            <w:tcW w:w="1002" w:type="dxa"/>
            <w:tcBorders>
              <w:top w:val="nil"/>
              <w:left w:val="nil"/>
              <w:bottom w:val="single" w:sz="8" w:space="0" w:color="auto"/>
              <w:right w:val="single" w:sz="8" w:space="0" w:color="auto"/>
            </w:tcBorders>
            <w:shd w:val="clear" w:color="auto" w:fill="auto"/>
            <w:noWrap/>
            <w:vAlign w:val="center"/>
            <w:hideMark/>
          </w:tcPr>
          <w:p w14:paraId="5A727AF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3.518</w:t>
            </w:r>
          </w:p>
        </w:tc>
        <w:tc>
          <w:tcPr>
            <w:tcW w:w="1144" w:type="dxa"/>
            <w:tcBorders>
              <w:top w:val="nil"/>
              <w:left w:val="nil"/>
              <w:bottom w:val="single" w:sz="8" w:space="0" w:color="auto"/>
              <w:right w:val="single" w:sz="8" w:space="0" w:color="auto"/>
            </w:tcBorders>
            <w:shd w:val="clear" w:color="auto" w:fill="auto"/>
            <w:noWrap/>
            <w:vAlign w:val="center"/>
            <w:hideMark/>
          </w:tcPr>
          <w:p w14:paraId="74E3CFC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7.958.819</w:t>
            </w:r>
          </w:p>
        </w:tc>
        <w:tc>
          <w:tcPr>
            <w:tcW w:w="1001" w:type="dxa"/>
            <w:tcBorders>
              <w:top w:val="nil"/>
              <w:left w:val="nil"/>
              <w:bottom w:val="single" w:sz="8" w:space="0" w:color="auto"/>
              <w:right w:val="single" w:sz="8" w:space="0" w:color="auto"/>
            </w:tcBorders>
            <w:shd w:val="clear" w:color="auto" w:fill="auto"/>
            <w:noWrap/>
            <w:vAlign w:val="center"/>
            <w:hideMark/>
          </w:tcPr>
          <w:p w14:paraId="62A82AFD"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1.671.094</w:t>
            </w:r>
          </w:p>
        </w:tc>
        <w:tc>
          <w:tcPr>
            <w:tcW w:w="1144" w:type="dxa"/>
            <w:tcBorders>
              <w:top w:val="nil"/>
              <w:left w:val="nil"/>
              <w:bottom w:val="single" w:sz="8" w:space="0" w:color="auto"/>
              <w:right w:val="single" w:sz="8" w:space="0" w:color="auto"/>
            </w:tcBorders>
            <w:shd w:val="clear" w:color="auto" w:fill="auto"/>
            <w:noWrap/>
            <w:vAlign w:val="center"/>
            <w:hideMark/>
          </w:tcPr>
          <w:p w14:paraId="6886103D"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9.629.913</w:t>
            </w:r>
          </w:p>
        </w:tc>
        <w:tc>
          <w:tcPr>
            <w:tcW w:w="1144" w:type="dxa"/>
            <w:tcBorders>
              <w:top w:val="nil"/>
              <w:left w:val="nil"/>
              <w:bottom w:val="single" w:sz="8" w:space="0" w:color="auto"/>
              <w:right w:val="single" w:sz="8" w:space="0" w:color="auto"/>
            </w:tcBorders>
            <w:shd w:val="clear" w:color="auto" w:fill="auto"/>
            <w:noWrap/>
            <w:vAlign w:val="center"/>
            <w:hideMark/>
          </w:tcPr>
          <w:p w14:paraId="7A29D650"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91.188.322</w:t>
            </w:r>
          </w:p>
        </w:tc>
        <w:tc>
          <w:tcPr>
            <w:tcW w:w="1144" w:type="dxa"/>
            <w:tcBorders>
              <w:top w:val="nil"/>
              <w:left w:val="nil"/>
              <w:bottom w:val="single" w:sz="8" w:space="0" w:color="auto"/>
              <w:right w:val="single" w:sz="8" w:space="0" w:color="auto"/>
            </w:tcBorders>
            <w:shd w:val="clear" w:color="auto" w:fill="auto"/>
            <w:noWrap/>
            <w:vAlign w:val="center"/>
            <w:hideMark/>
          </w:tcPr>
          <w:p w14:paraId="320FB951"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18.508.667</w:t>
            </w:r>
          </w:p>
        </w:tc>
        <w:tc>
          <w:tcPr>
            <w:tcW w:w="1144" w:type="dxa"/>
            <w:tcBorders>
              <w:top w:val="nil"/>
              <w:left w:val="nil"/>
              <w:bottom w:val="single" w:sz="8" w:space="0" w:color="auto"/>
              <w:right w:val="single" w:sz="8" w:space="0" w:color="auto"/>
            </w:tcBorders>
            <w:shd w:val="clear" w:color="auto" w:fill="auto"/>
            <w:noWrap/>
            <w:vAlign w:val="center"/>
            <w:hideMark/>
          </w:tcPr>
          <w:p w14:paraId="204534D1"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109.696.989</w:t>
            </w:r>
          </w:p>
        </w:tc>
      </w:tr>
      <w:tr w:rsidR="00924439" w:rsidRPr="00582936" w14:paraId="4987FB5C" w14:textId="77777777" w:rsidTr="00BA7D1F">
        <w:trPr>
          <w:trHeight w:val="455"/>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3C5B488C"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Empresa 2 2021</w:t>
            </w:r>
          </w:p>
        </w:tc>
        <w:tc>
          <w:tcPr>
            <w:tcW w:w="858" w:type="dxa"/>
            <w:tcBorders>
              <w:top w:val="nil"/>
              <w:left w:val="nil"/>
              <w:bottom w:val="single" w:sz="8" w:space="0" w:color="auto"/>
              <w:right w:val="single" w:sz="8" w:space="0" w:color="auto"/>
            </w:tcBorders>
            <w:shd w:val="clear" w:color="auto" w:fill="auto"/>
            <w:noWrap/>
            <w:vAlign w:val="center"/>
            <w:hideMark/>
          </w:tcPr>
          <w:p w14:paraId="14FAFDD3"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5.398</w:t>
            </w:r>
          </w:p>
        </w:tc>
        <w:tc>
          <w:tcPr>
            <w:tcW w:w="857" w:type="dxa"/>
            <w:tcBorders>
              <w:top w:val="nil"/>
              <w:left w:val="nil"/>
              <w:bottom w:val="single" w:sz="8" w:space="0" w:color="auto"/>
              <w:right w:val="single" w:sz="8" w:space="0" w:color="auto"/>
            </w:tcBorders>
            <w:shd w:val="clear" w:color="auto" w:fill="auto"/>
            <w:noWrap/>
            <w:vAlign w:val="center"/>
            <w:hideMark/>
          </w:tcPr>
          <w:p w14:paraId="7BE84EC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913</w:t>
            </w:r>
          </w:p>
        </w:tc>
        <w:tc>
          <w:tcPr>
            <w:tcW w:w="1002" w:type="dxa"/>
            <w:tcBorders>
              <w:top w:val="nil"/>
              <w:left w:val="nil"/>
              <w:bottom w:val="single" w:sz="8" w:space="0" w:color="auto"/>
              <w:right w:val="single" w:sz="8" w:space="0" w:color="auto"/>
            </w:tcBorders>
            <w:shd w:val="clear" w:color="auto" w:fill="auto"/>
            <w:noWrap/>
            <w:vAlign w:val="center"/>
            <w:hideMark/>
          </w:tcPr>
          <w:p w14:paraId="1A2250C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6.311</w:t>
            </w:r>
          </w:p>
        </w:tc>
        <w:tc>
          <w:tcPr>
            <w:tcW w:w="1144" w:type="dxa"/>
            <w:tcBorders>
              <w:top w:val="nil"/>
              <w:left w:val="nil"/>
              <w:bottom w:val="single" w:sz="8" w:space="0" w:color="auto"/>
              <w:right w:val="single" w:sz="8" w:space="0" w:color="auto"/>
            </w:tcBorders>
            <w:shd w:val="clear" w:color="auto" w:fill="auto"/>
            <w:noWrap/>
            <w:vAlign w:val="center"/>
            <w:hideMark/>
          </w:tcPr>
          <w:p w14:paraId="3181B62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7.346.303</w:t>
            </w:r>
          </w:p>
        </w:tc>
        <w:tc>
          <w:tcPr>
            <w:tcW w:w="1001" w:type="dxa"/>
            <w:tcBorders>
              <w:top w:val="nil"/>
              <w:left w:val="nil"/>
              <w:bottom w:val="single" w:sz="8" w:space="0" w:color="auto"/>
              <w:right w:val="single" w:sz="8" w:space="0" w:color="auto"/>
            </w:tcBorders>
            <w:shd w:val="clear" w:color="auto" w:fill="auto"/>
            <w:noWrap/>
            <w:vAlign w:val="center"/>
            <w:hideMark/>
          </w:tcPr>
          <w:p w14:paraId="5835405E"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1.165.964</w:t>
            </w:r>
          </w:p>
        </w:tc>
        <w:tc>
          <w:tcPr>
            <w:tcW w:w="1144" w:type="dxa"/>
            <w:tcBorders>
              <w:top w:val="nil"/>
              <w:left w:val="nil"/>
              <w:bottom w:val="single" w:sz="8" w:space="0" w:color="auto"/>
              <w:right w:val="single" w:sz="8" w:space="0" w:color="auto"/>
            </w:tcBorders>
            <w:shd w:val="clear" w:color="auto" w:fill="auto"/>
            <w:noWrap/>
            <w:vAlign w:val="center"/>
            <w:hideMark/>
          </w:tcPr>
          <w:p w14:paraId="0DF3465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8.512.267</w:t>
            </w:r>
          </w:p>
        </w:tc>
        <w:tc>
          <w:tcPr>
            <w:tcW w:w="1144" w:type="dxa"/>
            <w:tcBorders>
              <w:top w:val="nil"/>
              <w:left w:val="nil"/>
              <w:bottom w:val="single" w:sz="8" w:space="0" w:color="auto"/>
              <w:right w:val="single" w:sz="8" w:space="0" w:color="auto"/>
            </w:tcBorders>
            <w:shd w:val="clear" w:color="auto" w:fill="auto"/>
            <w:noWrap/>
            <w:vAlign w:val="center"/>
            <w:hideMark/>
          </w:tcPr>
          <w:p w14:paraId="48DD680B"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89.528.766</w:t>
            </w:r>
          </w:p>
        </w:tc>
        <w:tc>
          <w:tcPr>
            <w:tcW w:w="1144" w:type="dxa"/>
            <w:tcBorders>
              <w:top w:val="nil"/>
              <w:left w:val="nil"/>
              <w:bottom w:val="single" w:sz="8" w:space="0" w:color="auto"/>
              <w:right w:val="single" w:sz="8" w:space="0" w:color="auto"/>
            </w:tcBorders>
            <w:shd w:val="clear" w:color="auto" w:fill="auto"/>
            <w:noWrap/>
            <w:vAlign w:val="center"/>
            <w:hideMark/>
          </w:tcPr>
          <w:p w14:paraId="70ED46E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15.037.537</w:t>
            </w:r>
          </w:p>
        </w:tc>
        <w:tc>
          <w:tcPr>
            <w:tcW w:w="1144" w:type="dxa"/>
            <w:tcBorders>
              <w:top w:val="nil"/>
              <w:left w:val="nil"/>
              <w:bottom w:val="single" w:sz="8" w:space="0" w:color="auto"/>
              <w:right w:val="single" w:sz="8" w:space="0" w:color="auto"/>
            </w:tcBorders>
            <w:shd w:val="clear" w:color="auto" w:fill="auto"/>
            <w:noWrap/>
            <w:vAlign w:val="center"/>
            <w:hideMark/>
          </w:tcPr>
          <w:p w14:paraId="59C72FF7"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104.566.303</w:t>
            </w:r>
          </w:p>
        </w:tc>
      </w:tr>
      <w:tr w:rsidR="00924439" w:rsidRPr="00582936" w14:paraId="42766560" w14:textId="77777777" w:rsidTr="00BA7D1F">
        <w:trPr>
          <w:trHeight w:val="639"/>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00C2D018"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Total Empresa fusionadas 2021</w:t>
            </w:r>
          </w:p>
        </w:tc>
        <w:tc>
          <w:tcPr>
            <w:tcW w:w="858" w:type="dxa"/>
            <w:tcBorders>
              <w:top w:val="nil"/>
              <w:left w:val="nil"/>
              <w:bottom w:val="single" w:sz="8" w:space="0" w:color="auto"/>
              <w:right w:val="single" w:sz="8" w:space="0" w:color="auto"/>
            </w:tcBorders>
            <w:shd w:val="clear" w:color="auto" w:fill="auto"/>
            <w:noWrap/>
            <w:vAlign w:val="center"/>
            <w:hideMark/>
          </w:tcPr>
          <w:p w14:paraId="4CB5C9C3"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8.290</w:t>
            </w:r>
          </w:p>
        </w:tc>
        <w:tc>
          <w:tcPr>
            <w:tcW w:w="857" w:type="dxa"/>
            <w:tcBorders>
              <w:top w:val="nil"/>
              <w:left w:val="nil"/>
              <w:bottom w:val="single" w:sz="8" w:space="0" w:color="auto"/>
              <w:right w:val="single" w:sz="8" w:space="0" w:color="auto"/>
            </w:tcBorders>
            <w:shd w:val="clear" w:color="auto" w:fill="auto"/>
            <w:noWrap/>
            <w:vAlign w:val="center"/>
            <w:hideMark/>
          </w:tcPr>
          <w:p w14:paraId="750A1BA6"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1.539</w:t>
            </w:r>
          </w:p>
        </w:tc>
        <w:tc>
          <w:tcPr>
            <w:tcW w:w="1002" w:type="dxa"/>
            <w:tcBorders>
              <w:top w:val="nil"/>
              <w:left w:val="nil"/>
              <w:bottom w:val="single" w:sz="8" w:space="0" w:color="auto"/>
              <w:right w:val="single" w:sz="8" w:space="0" w:color="auto"/>
            </w:tcBorders>
            <w:shd w:val="clear" w:color="auto" w:fill="auto"/>
            <w:noWrap/>
            <w:vAlign w:val="center"/>
            <w:hideMark/>
          </w:tcPr>
          <w:p w14:paraId="1FD3A47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9.829</w:t>
            </w:r>
          </w:p>
        </w:tc>
        <w:tc>
          <w:tcPr>
            <w:tcW w:w="1144" w:type="dxa"/>
            <w:tcBorders>
              <w:top w:val="nil"/>
              <w:left w:val="nil"/>
              <w:bottom w:val="single" w:sz="8" w:space="0" w:color="auto"/>
              <w:right w:val="single" w:sz="8" w:space="0" w:color="auto"/>
            </w:tcBorders>
            <w:shd w:val="clear" w:color="auto" w:fill="auto"/>
            <w:noWrap/>
            <w:vAlign w:val="center"/>
            <w:hideMark/>
          </w:tcPr>
          <w:p w14:paraId="155A52EA"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15.305.122</w:t>
            </w:r>
          </w:p>
        </w:tc>
        <w:tc>
          <w:tcPr>
            <w:tcW w:w="1001" w:type="dxa"/>
            <w:tcBorders>
              <w:top w:val="nil"/>
              <w:left w:val="nil"/>
              <w:bottom w:val="single" w:sz="8" w:space="0" w:color="auto"/>
              <w:right w:val="single" w:sz="8" w:space="0" w:color="auto"/>
            </w:tcBorders>
            <w:shd w:val="clear" w:color="auto" w:fill="auto"/>
            <w:noWrap/>
            <w:vAlign w:val="center"/>
            <w:hideMark/>
          </w:tcPr>
          <w:p w14:paraId="452B860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2.837.058</w:t>
            </w:r>
          </w:p>
        </w:tc>
        <w:tc>
          <w:tcPr>
            <w:tcW w:w="1144" w:type="dxa"/>
            <w:tcBorders>
              <w:top w:val="nil"/>
              <w:left w:val="nil"/>
              <w:bottom w:val="single" w:sz="8" w:space="0" w:color="auto"/>
              <w:right w:val="single" w:sz="8" w:space="0" w:color="auto"/>
            </w:tcBorders>
            <w:shd w:val="clear" w:color="auto" w:fill="auto"/>
            <w:noWrap/>
            <w:vAlign w:val="center"/>
            <w:hideMark/>
          </w:tcPr>
          <w:p w14:paraId="31C12B55"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18.142.180</w:t>
            </w:r>
          </w:p>
        </w:tc>
        <w:tc>
          <w:tcPr>
            <w:tcW w:w="1144" w:type="dxa"/>
            <w:tcBorders>
              <w:top w:val="nil"/>
              <w:left w:val="nil"/>
              <w:bottom w:val="single" w:sz="8" w:space="0" w:color="auto"/>
              <w:right w:val="single" w:sz="8" w:space="0" w:color="auto"/>
            </w:tcBorders>
            <w:shd w:val="clear" w:color="auto" w:fill="auto"/>
            <w:noWrap/>
            <w:vAlign w:val="center"/>
            <w:hideMark/>
          </w:tcPr>
          <w:p w14:paraId="5AA83A96"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180.717.088</w:t>
            </w:r>
          </w:p>
        </w:tc>
        <w:tc>
          <w:tcPr>
            <w:tcW w:w="1144" w:type="dxa"/>
            <w:tcBorders>
              <w:top w:val="nil"/>
              <w:left w:val="nil"/>
              <w:bottom w:val="single" w:sz="8" w:space="0" w:color="auto"/>
              <w:right w:val="single" w:sz="8" w:space="0" w:color="auto"/>
            </w:tcBorders>
            <w:shd w:val="clear" w:color="auto" w:fill="auto"/>
            <w:noWrap/>
            <w:vAlign w:val="center"/>
            <w:hideMark/>
          </w:tcPr>
          <w:p w14:paraId="02DC7D1D"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33.546.204</w:t>
            </w:r>
          </w:p>
        </w:tc>
        <w:tc>
          <w:tcPr>
            <w:tcW w:w="1144" w:type="dxa"/>
            <w:tcBorders>
              <w:top w:val="nil"/>
              <w:left w:val="nil"/>
              <w:bottom w:val="single" w:sz="8" w:space="0" w:color="auto"/>
              <w:right w:val="single" w:sz="8" w:space="0" w:color="auto"/>
            </w:tcBorders>
            <w:shd w:val="clear" w:color="auto" w:fill="auto"/>
            <w:noWrap/>
            <w:vAlign w:val="center"/>
            <w:hideMark/>
          </w:tcPr>
          <w:p w14:paraId="5FB8753C"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214.263.292</w:t>
            </w:r>
          </w:p>
        </w:tc>
      </w:tr>
      <w:tr w:rsidR="00924439" w:rsidRPr="00582936" w14:paraId="105C4D07" w14:textId="77777777" w:rsidTr="00BA7D1F">
        <w:trPr>
          <w:trHeight w:val="455"/>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531BF7E7"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Empresa 1 %</w:t>
            </w:r>
          </w:p>
        </w:tc>
        <w:tc>
          <w:tcPr>
            <w:tcW w:w="858" w:type="dxa"/>
            <w:tcBorders>
              <w:top w:val="nil"/>
              <w:left w:val="nil"/>
              <w:bottom w:val="single" w:sz="8" w:space="0" w:color="auto"/>
              <w:right w:val="single" w:sz="8" w:space="0" w:color="auto"/>
            </w:tcBorders>
            <w:shd w:val="clear" w:color="auto" w:fill="auto"/>
            <w:noWrap/>
            <w:vAlign w:val="center"/>
            <w:hideMark/>
          </w:tcPr>
          <w:p w14:paraId="73024590"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34,87%</w:t>
            </w:r>
          </w:p>
        </w:tc>
        <w:tc>
          <w:tcPr>
            <w:tcW w:w="857" w:type="dxa"/>
            <w:tcBorders>
              <w:top w:val="nil"/>
              <w:left w:val="nil"/>
              <w:bottom w:val="single" w:sz="8" w:space="0" w:color="auto"/>
              <w:right w:val="single" w:sz="8" w:space="0" w:color="auto"/>
            </w:tcBorders>
            <w:shd w:val="clear" w:color="auto" w:fill="auto"/>
            <w:noWrap/>
            <w:vAlign w:val="center"/>
            <w:hideMark/>
          </w:tcPr>
          <w:p w14:paraId="39338DB0"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40,70%</w:t>
            </w:r>
          </w:p>
        </w:tc>
        <w:tc>
          <w:tcPr>
            <w:tcW w:w="1002" w:type="dxa"/>
            <w:tcBorders>
              <w:top w:val="nil"/>
              <w:left w:val="nil"/>
              <w:bottom w:val="single" w:sz="8" w:space="0" w:color="auto"/>
              <w:right w:val="single" w:sz="8" w:space="0" w:color="auto"/>
            </w:tcBorders>
            <w:shd w:val="clear" w:color="auto" w:fill="auto"/>
            <w:noWrap/>
            <w:vAlign w:val="center"/>
            <w:hideMark/>
          </w:tcPr>
          <w:p w14:paraId="09CF73D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35,79%</w:t>
            </w:r>
          </w:p>
        </w:tc>
        <w:tc>
          <w:tcPr>
            <w:tcW w:w="1144" w:type="dxa"/>
            <w:tcBorders>
              <w:top w:val="nil"/>
              <w:left w:val="nil"/>
              <w:bottom w:val="single" w:sz="8" w:space="0" w:color="auto"/>
              <w:right w:val="single" w:sz="8" w:space="0" w:color="auto"/>
            </w:tcBorders>
            <w:shd w:val="clear" w:color="auto" w:fill="auto"/>
            <w:noWrap/>
            <w:vAlign w:val="center"/>
            <w:hideMark/>
          </w:tcPr>
          <w:p w14:paraId="769B4C27"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52,01%</w:t>
            </w:r>
          </w:p>
        </w:tc>
        <w:tc>
          <w:tcPr>
            <w:tcW w:w="1001" w:type="dxa"/>
            <w:tcBorders>
              <w:top w:val="nil"/>
              <w:left w:val="nil"/>
              <w:bottom w:val="single" w:sz="8" w:space="0" w:color="auto"/>
              <w:right w:val="single" w:sz="8" w:space="0" w:color="auto"/>
            </w:tcBorders>
            <w:shd w:val="clear" w:color="auto" w:fill="auto"/>
            <w:noWrap/>
            <w:vAlign w:val="center"/>
            <w:hideMark/>
          </w:tcPr>
          <w:p w14:paraId="3EC56097"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58,90%</w:t>
            </w:r>
          </w:p>
        </w:tc>
        <w:tc>
          <w:tcPr>
            <w:tcW w:w="1144" w:type="dxa"/>
            <w:tcBorders>
              <w:top w:val="nil"/>
              <w:left w:val="nil"/>
              <w:bottom w:val="single" w:sz="8" w:space="0" w:color="auto"/>
              <w:right w:val="single" w:sz="8" w:space="0" w:color="auto"/>
            </w:tcBorders>
            <w:shd w:val="clear" w:color="auto" w:fill="auto"/>
            <w:noWrap/>
            <w:vAlign w:val="center"/>
            <w:hideMark/>
          </w:tcPr>
          <w:p w14:paraId="35175467"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53,08%</w:t>
            </w:r>
          </w:p>
        </w:tc>
        <w:tc>
          <w:tcPr>
            <w:tcW w:w="1144" w:type="dxa"/>
            <w:tcBorders>
              <w:top w:val="nil"/>
              <w:left w:val="nil"/>
              <w:bottom w:val="single" w:sz="8" w:space="0" w:color="auto"/>
              <w:right w:val="single" w:sz="8" w:space="0" w:color="auto"/>
            </w:tcBorders>
            <w:shd w:val="clear" w:color="auto" w:fill="auto"/>
            <w:noWrap/>
            <w:vAlign w:val="center"/>
            <w:hideMark/>
          </w:tcPr>
          <w:p w14:paraId="5B0DBB33"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50,47%</w:t>
            </w:r>
          </w:p>
        </w:tc>
        <w:tc>
          <w:tcPr>
            <w:tcW w:w="1144" w:type="dxa"/>
            <w:tcBorders>
              <w:top w:val="nil"/>
              <w:left w:val="nil"/>
              <w:bottom w:val="single" w:sz="8" w:space="0" w:color="auto"/>
              <w:right w:val="single" w:sz="8" w:space="0" w:color="auto"/>
            </w:tcBorders>
            <w:shd w:val="clear" w:color="auto" w:fill="auto"/>
            <w:noWrap/>
            <w:vAlign w:val="center"/>
            <w:hideMark/>
          </w:tcPr>
          <w:p w14:paraId="38D36DD1"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55,17%</w:t>
            </w:r>
          </w:p>
        </w:tc>
        <w:tc>
          <w:tcPr>
            <w:tcW w:w="1144" w:type="dxa"/>
            <w:tcBorders>
              <w:top w:val="nil"/>
              <w:left w:val="nil"/>
              <w:bottom w:val="single" w:sz="8" w:space="0" w:color="auto"/>
              <w:right w:val="single" w:sz="8" w:space="0" w:color="auto"/>
            </w:tcBorders>
            <w:shd w:val="clear" w:color="auto" w:fill="auto"/>
            <w:noWrap/>
            <w:vAlign w:val="center"/>
            <w:hideMark/>
          </w:tcPr>
          <w:p w14:paraId="2228C00C"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51,20%</w:t>
            </w:r>
          </w:p>
        </w:tc>
      </w:tr>
      <w:tr w:rsidR="00924439" w:rsidRPr="00582936" w14:paraId="5EF5E102" w14:textId="77777777" w:rsidTr="00BA7D1F">
        <w:trPr>
          <w:trHeight w:val="455"/>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4003AFA7"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Empresa 2 %</w:t>
            </w:r>
          </w:p>
        </w:tc>
        <w:tc>
          <w:tcPr>
            <w:tcW w:w="858" w:type="dxa"/>
            <w:tcBorders>
              <w:top w:val="nil"/>
              <w:left w:val="nil"/>
              <w:bottom w:val="single" w:sz="8" w:space="0" w:color="auto"/>
              <w:right w:val="single" w:sz="8" w:space="0" w:color="auto"/>
            </w:tcBorders>
            <w:shd w:val="clear" w:color="auto" w:fill="auto"/>
            <w:noWrap/>
            <w:vAlign w:val="center"/>
            <w:hideMark/>
          </w:tcPr>
          <w:p w14:paraId="687676A7"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65,13%</w:t>
            </w:r>
          </w:p>
        </w:tc>
        <w:tc>
          <w:tcPr>
            <w:tcW w:w="857" w:type="dxa"/>
            <w:tcBorders>
              <w:top w:val="nil"/>
              <w:left w:val="nil"/>
              <w:bottom w:val="single" w:sz="8" w:space="0" w:color="auto"/>
              <w:right w:val="single" w:sz="8" w:space="0" w:color="auto"/>
            </w:tcBorders>
            <w:shd w:val="clear" w:color="auto" w:fill="auto"/>
            <w:noWrap/>
            <w:vAlign w:val="center"/>
            <w:hideMark/>
          </w:tcPr>
          <w:p w14:paraId="23B2CE7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59,30%</w:t>
            </w:r>
          </w:p>
        </w:tc>
        <w:tc>
          <w:tcPr>
            <w:tcW w:w="1002" w:type="dxa"/>
            <w:tcBorders>
              <w:top w:val="nil"/>
              <w:left w:val="nil"/>
              <w:bottom w:val="single" w:sz="8" w:space="0" w:color="auto"/>
              <w:right w:val="single" w:sz="8" w:space="0" w:color="auto"/>
            </w:tcBorders>
            <w:shd w:val="clear" w:color="auto" w:fill="auto"/>
            <w:noWrap/>
            <w:vAlign w:val="center"/>
            <w:hideMark/>
          </w:tcPr>
          <w:p w14:paraId="1DA7975B"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64,21%</w:t>
            </w:r>
          </w:p>
        </w:tc>
        <w:tc>
          <w:tcPr>
            <w:tcW w:w="1144" w:type="dxa"/>
            <w:tcBorders>
              <w:top w:val="nil"/>
              <w:left w:val="nil"/>
              <w:bottom w:val="single" w:sz="8" w:space="0" w:color="auto"/>
              <w:right w:val="single" w:sz="8" w:space="0" w:color="auto"/>
            </w:tcBorders>
            <w:shd w:val="clear" w:color="auto" w:fill="auto"/>
            <w:noWrap/>
            <w:vAlign w:val="center"/>
            <w:hideMark/>
          </w:tcPr>
          <w:p w14:paraId="416635A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47,99%</w:t>
            </w:r>
          </w:p>
        </w:tc>
        <w:tc>
          <w:tcPr>
            <w:tcW w:w="1001" w:type="dxa"/>
            <w:tcBorders>
              <w:top w:val="nil"/>
              <w:left w:val="nil"/>
              <w:bottom w:val="single" w:sz="8" w:space="0" w:color="auto"/>
              <w:right w:val="single" w:sz="8" w:space="0" w:color="auto"/>
            </w:tcBorders>
            <w:shd w:val="clear" w:color="auto" w:fill="auto"/>
            <w:noWrap/>
            <w:vAlign w:val="center"/>
            <w:hideMark/>
          </w:tcPr>
          <w:p w14:paraId="09253F55"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41,10%</w:t>
            </w:r>
          </w:p>
        </w:tc>
        <w:tc>
          <w:tcPr>
            <w:tcW w:w="1144" w:type="dxa"/>
            <w:tcBorders>
              <w:top w:val="nil"/>
              <w:left w:val="nil"/>
              <w:bottom w:val="single" w:sz="8" w:space="0" w:color="auto"/>
              <w:right w:val="single" w:sz="8" w:space="0" w:color="auto"/>
            </w:tcBorders>
            <w:shd w:val="clear" w:color="auto" w:fill="auto"/>
            <w:noWrap/>
            <w:vAlign w:val="center"/>
            <w:hideMark/>
          </w:tcPr>
          <w:p w14:paraId="74FB566C"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46,92%</w:t>
            </w:r>
          </w:p>
        </w:tc>
        <w:tc>
          <w:tcPr>
            <w:tcW w:w="1144" w:type="dxa"/>
            <w:tcBorders>
              <w:top w:val="nil"/>
              <w:left w:val="nil"/>
              <w:bottom w:val="single" w:sz="8" w:space="0" w:color="auto"/>
              <w:right w:val="single" w:sz="8" w:space="0" w:color="auto"/>
            </w:tcBorders>
            <w:shd w:val="clear" w:color="auto" w:fill="auto"/>
            <w:noWrap/>
            <w:vAlign w:val="center"/>
            <w:hideMark/>
          </w:tcPr>
          <w:p w14:paraId="692F766D"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49,53%</w:t>
            </w:r>
          </w:p>
        </w:tc>
        <w:tc>
          <w:tcPr>
            <w:tcW w:w="1144" w:type="dxa"/>
            <w:tcBorders>
              <w:top w:val="nil"/>
              <w:left w:val="nil"/>
              <w:bottom w:val="single" w:sz="8" w:space="0" w:color="auto"/>
              <w:right w:val="single" w:sz="8" w:space="0" w:color="auto"/>
            </w:tcBorders>
            <w:shd w:val="clear" w:color="auto" w:fill="auto"/>
            <w:noWrap/>
            <w:vAlign w:val="center"/>
            <w:hideMark/>
          </w:tcPr>
          <w:p w14:paraId="5CDF23EA"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44,83%</w:t>
            </w:r>
          </w:p>
        </w:tc>
        <w:tc>
          <w:tcPr>
            <w:tcW w:w="1144" w:type="dxa"/>
            <w:tcBorders>
              <w:top w:val="nil"/>
              <w:left w:val="nil"/>
              <w:bottom w:val="single" w:sz="8" w:space="0" w:color="auto"/>
              <w:right w:val="single" w:sz="8" w:space="0" w:color="auto"/>
            </w:tcBorders>
            <w:shd w:val="clear" w:color="auto" w:fill="auto"/>
            <w:noWrap/>
            <w:vAlign w:val="center"/>
            <w:hideMark/>
          </w:tcPr>
          <w:p w14:paraId="7771AC8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48,80%</w:t>
            </w:r>
          </w:p>
        </w:tc>
      </w:tr>
      <w:tr w:rsidR="00924439" w:rsidRPr="00582936" w14:paraId="7B3BA6CD" w14:textId="77777777" w:rsidTr="00BA7D1F">
        <w:trPr>
          <w:trHeight w:val="455"/>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19C5FBB2"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Empresa 1 2022</w:t>
            </w:r>
          </w:p>
        </w:tc>
        <w:tc>
          <w:tcPr>
            <w:tcW w:w="858" w:type="dxa"/>
            <w:tcBorders>
              <w:top w:val="nil"/>
              <w:left w:val="nil"/>
              <w:bottom w:val="single" w:sz="8" w:space="0" w:color="auto"/>
              <w:right w:val="single" w:sz="8" w:space="0" w:color="auto"/>
            </w:tcBorders>
            <w:shd w:val="clear" w:color="auto" w:fill="auto"/>
            <w:noWrap/>
            <w:vAlign w:val="center"/>
            <w:hideMark/>
          </w:tcPr>
          <w:p w14:paraId="5B5599B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2.864</w:t>
            </w:r>
          </w:p>
        </w:tc>
        <w:tc>
          <w:tcPr>
            <w:tcW w:w="857" w:type="dxa"/>
            <w:tcBorders>
              <w:top w:val="nil"/>
              <w:left w:val="nil"/>
              <w:bottom w:val="single" w:sz="8" w:space="0" w:color="auto"/>
              <w:right w:val="single" w:sz="8" w:space="0" w:color="auto"/>
            </w:tcBorders>
            <w:shd w:val="clear" w:color="auto" w:fill="auto"/>
            <w:noWrap/>
            <w:vAlign w:val="center"/>
            <w:hideMark/>
          </w:tcPr>
          <w:p w14:paraId="7DF67783"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626</w:t>
            </w:r>
          </w:p>
        </w:tc>
        <w:tc>
          <w:tcPr>
            <w:tcW w:w="1002" w:type="dxa"/>
            <w:tcBorders>
              <w:top w:val="nil"/>
              <w:left w:val="nil"/>
              <w:bottom w:val="single" w:sz="8" w:space="0" w:color="auto"/>
              <w:right w:val="single" w:sz="8" w:space="0" w:color="auto"/>
            </w:tcBorders>
            <w:shd w:val="clear" w:color="auto" w:fill="auto"/>
            <w:noWrap/>
            <w:vAlign w:val="center"/>
            <w:hideMark/>
          </w:tcPr>
          <w:p w14:paraId="7353D6B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3.490</w:t>
            </w:r>
          </w:p>
        </w:tc>
        <w:tc>
          <w:tcPr>
            <w:tcW w:w="1144" w:type="dxa"/>
            <w:tcBorders>
              <w:top w:val="nil"/>
              <w:left w:val="nil"/>
              <w:bottom w:val="single" w:sz="8" w:space="0" w:color="auto"/>
              <w:right w:val="single" w:sz="8" w:space="0" w:color="auto"/>
            </w:tcBorders>
            <w:shd w:val="clear" w:color="auto" w:fill="auto"/>
            <w:noWrap/>
            <w:vAlign w:val="center"/>
            <w:hideMark/>
          </w:tcPr>
          <w:p w14:paraId="7261540A"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8.371.183</w:t>
            </w:r>
          </w:p>
        </w:tc>
        <w:tc>
          <w:tcPr>
            <w:tcW w:w="1001" w:type="dxa"/>
            <w:tcBorders>
              <w:top w:val="nil"/>
              <w:left w:val="nil"/>
              <w:bottom w:val="single" w:sz="8" w:space="0" w:color="auto"/>
              <w:right w:val="single" w:sz="8" w:space="0" w:color="auto"/>
            </w:tcBorders>
            <w:shd w:val="clear" w:color="auto" w:fill="auto"/>
            <w:noWrap/>
            <w:vAlign w:val="center"/>
            <w:hideMark/>
          </w:tcPr>
          <w:p w14:paraId="1AE205F0"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1.739.142</w:t>
            </w:r>
          </w:p>
        </w:tc>
        <w:tc>
          <w:tcPr>
            <w:tcW w:w="1144" w:type="dxa"/>
            <w:tcBorders>
              <w:top w:val="nil"/>
              <w:left w:val="nil"/>
              <w:bottom w:val="single" w:sz="8" w:space="0" w:color="auto"/>
              <w:right w:val="single" w:sz="8" w:space="0" w:color="auto"/>
            </w:tcBorders>
            <w:shd w:val="clear" w:color="auto" w:fill="auto"/>
            <w:noWrap/>
            <w:vAlign w:val="center"/>
            <w:hideMark/>
          </w:tcPr>
          <w:p w14:paraId="6C0A76DE"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10.110.325</w:t>
            </w:r>
          </w:p>
        </w:tc>
        <w:tc>
          <w:tcPr>
            <w:tcW w:w="1144" w:type="dxa"/>
            <w:tcBorders>
              <w:top w:val="nil"/>
              <w:left w:val="nil"/>
              <w:bottom w:val="single" w:sz="8" w:space="0" w:color="auto"/>
              <w:right w:val="single" w:sz="8" w:space="0" w:color="auto"/>
            </w:tcBorders>
            <w:shd w:val="clear" w:color="auto" w:fill="auto"/>
            <w:noWrap/>
            <w:vAlign w:val="center"/>
            <w:hideMark/>
          </w:tcPr>
          <w:p w14:paraId="687F02B4"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94.204.602</w:t>
            </w:r>
          </w:p>
        </w:tc>
        <w:tc>
          <w:tcPr>
            <w:tcW w:w="1144" w:type="dxa"/>
            <w:tcBorders>
              <w:top w:val="nil"/>
              <w:left w:val="nil"/>
              <w:bottom w:val="single" w:sz="8" w:space="0" w:color="auto"/>
              <w:right w:val="single" w:sz="8" w:space="0" w:color="auto"/>
            </w:tcBorders>
            <w:shd w:val="clear" w:color="auto" w:fill="auto"/>
            <w:noWrap/>
            <w:vAlign w:val="center"/>
            <w:hideMark/>
          </w:tcPr>
          <w:p w14:paraId="6B97AE7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18.821.843</w:t>
            </w:r>
          </w:p>
        </w:tc>
        <w:tc>
          <w:tcPr>
            <w:tcW w:w="1144" w:type="dxa"/>
            <w:tcBorders>
              <w:top w:val="nil"/>
              <w:left w:val="nil"/>
              <w:bottom w:val="single" w:sz="8" w:space="0" w:color="auto"/>
              <w:right w:val="single" w:sz="8" w:space="0" w:color="auto"/>
            </w:tcBorders>
            <w:shd w:val="clear" w:color="auto" w:fill="auto"/>
            <w:noWrap/>
            <w:vAlign w:val="center"/>
            <w:hideMark/>
          </w:tcPr>
          <w:p w14:paraId="350E28B0"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113.026.445</w:t>
            </w:r>
          </w:p>
        </w:tc>
      </w:tr>
      <w:tr w:rsidR="00924439" w:rsidRPr="00582936" w14:paraId="3F7D0954" w14:textId="77777777" w:rsidTr="00BA7D1F">
        <w:trPr>
          <w:trHeight w:val="455"/>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3A7AEF86"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Empresa 2 2022</w:t>
            </w:r>
          </w:p>
        </w:tc>
        <w:tc>
          <w:tcPr>
            <w:tcW w:w="858" w:type="dxa"/>
            <w:tcBorders>
              <w:top w:val="nil"/>
              <w:left w:val="nil"/>
              <w:bottom w:val="single" w:sz="8" w:space="0" w:color="auto"/>
              <w:right w:val="single" w:sz="8" w:space="0" w:color="auto"/>
            </w:tcBorders>
            <w:shd w:val="clear" w:color="auto" w:fill="auto"/>
            <w:noWrap/>
            <w:vAlign w:val="center"/>
            <w:hideMark/>
          </w:tcPr>
          <w:p w14:paraId="1943B4A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5.349</w:t>
            </w:r>
          </w:p>
        </w:tc>
        <w:tc>
          <w:tcPr>
            <w:tcW w:w="857" w:type="dxa"/>
            <w:tcBorders>
              <w:top w:val="nil"/>
              <w:left w:val="nil"/>
              <w:bottom w:val="single" w:sz="8" w:space="0" w:color="auto"/>
              <w:right w:val="single" w:sz="8" w:space="0" w:color="auto"/>
            </w:tcBorders>
            <w:shd w:val="clear" w:color="auto" w:fill="auto"/>
            <w:noWrap/>
            <w:vAlign w:val="center"/>
            <w:hideMark/>
          </w:tcPr>
          <w:p w14:paraId="5575733B"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912</w:t>
            </w:r>
          </w:p>
        </w:tc>
        <w:tc>
          <w:tcPr>
            <w:tcW w:w="1002" w:type="dxa"/>
            <w:tcBorders>
              <w:top w:val="nil"/>
              <w:left w:val="nil"/>
              <w:bottom w:val="single" w:sz="8" w:space="0" w:color="auto"/>
              <w:right w:val="single" w:sz="8" w:space="0" w:color="auto"/>
            </w:tcBorders>
            <w:shd w:val="clear" w:color="auto" w:fill="auto"/>
            <w:noWrap/>
            <w:vAlign w:val="center"/>
            <w:hideMark/>
          </w:tcPr>
          <w:p w14:paraId="15D28A1C"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6.261</w:t>
            </w:r>
          </w:p>
        </w:tc>
        <w:tc>
          <w:tcPr>
            <w:tcW w:w="1144" w:type="dxa"/>
            <w:tcBorders>
              <w:top w:val="nil"/>
              <w:left w:val="nil"/>
              <w:bottom w:val="single" w:sz="8" w:space="0" w:color="auto"/>
              <w:right w:val="single" w:sz="8" w:space="0" w:color="auto"/>
            </w:tcBorders>
            <w:shd w:val="clear" w:color="auto" w:fill="auto"/>
            <w:noWrap/>
            <w:vAlign w:val="center"/>
            <w:hideMark/>
          </w:tcPr>
          <w:p w14:paraId="4909085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7.723.480</w:t>
            </w:r>
          </w:p>
        </w:tc>
        <w:tc>
          <w:tcPr>
            <w:tcW w:w="1001" w:type="dxa"/>
            <w:tcBorders>
              <w:top w:val="nil"/>
              <w:left w:val="nil"/>
              <w:bottom w:val="single" w:sz="8" w:space="0" w:color="auto"/>
              <w:right w:val="single" w:sz="8" w:space="0" w:color="auto"/>
            </w:tcBorders>
            <w:shd w:val="clear" w:color="auto" w:fill="auto"/>
            <w:noWrap/>
            <w:vAlign w:val="center"/>
            <w:hideMark/>
          </w:tcPr>
          <w:p w14:paraId="7A911BC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1.213.442</w:t>
            </w:r>
          </w:p>
        </w:tc>
        <w:tc>
          <w:tcPr>
            <w:tcW w:w="1144" w:type="dxa"/>
            <w:tcBorders>
              <w:top w:val="nil"/>
              <w:left w:val="nil"/>
              <w:bottom w:val="single" w:sz="8" w:space="0" w:color="auto"/>
              <w:right w:val="single" w:sz="8" w:space="0" w:color="auto"/>
            </w:tcBorders>
            <w:shd w:val="clear" w:color="auto" w:fill="auto"/>
            <w:noWrap/>
            <w:vAlign w:val="center"/>
            <w:hideMark/>
          </w:tcPr>
          <w:p w14:paraId="2BE4D53A"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8.936.922</w:t>
            </w:r>
          </w:p>
        </w:tc>
        <w:tc>
          <w:tcPr>
            <w:tcW w:w="1144" w:type="dxa"/>
            <w:tcBorders>
              <w:top w:val="nil"/>
              <w:left w:val="nil"/>
              <w:bottom w:val="single" w:sz="8" w:space="0" w:color="auto"/>
              <w:right w:val="single" w:sz="8" w:space="0" w:color="auto"/>
            </w:tcBorders>
            <w:shd w:val="clear" w:color="auto" w:fill="auto"/>
            <w:noWrap/>
            <w:vAlign w:val="center"/>
            <w:hideMark/>
          </w:tcPr>
          <w:p w14:paraId="04D4E3D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92.448.056</w:t>
            </w:r>
          </w:p>
        </w:tc>
        <w:tc>
          <w:tcPr>
            <w:tcW w:w="1144" w:type="dxa"/>
            <w:tcBorders>
              <w:top w:val="nil"/>
              <w:left w:val="nil"/>
              <w:bottom w:val="single" w:sz="8" w:space="0" w:color="auto"/>
              <w:right w:val="single" w:sz="8" w:space="0" w:color="auto"/>
            </w:tcBorders>
            <w:shd w:val="clear" w:color="auto" w:fill="auto"/>
            <w:noWrap/>
            <w:vAlign w:val="center"/>
            <w:hideMark/>
          </w:tcPr>
          <w:p w14:paraId="7634A948"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15.291.979</w:t>
            </w:r>
          </w:p>
        </w:tc>
        <w:tc>
          <w:tcPr>
            <w:tcW w:w="1144" w:type="dxa"/>
            <w:tcBorders>
              <w:top w:val="nil"/>
              <w:left w:val="nil"/>
              <w:bottom w:val="single" w:sz="8" w:space="0" w:color="auto"/>
              <w:right w:val="single" w:sz="8" w:space="0" w:color="auto"/>
            </w:tcBorders>
            <w:shd w:val="clear" w:color="auto" w:fill="auto"/>
            <w:noWrap/>
            <w:vAlign w:val="center"/>
            <w:hideMark/>
          </w:tcPr>
          <w:p w14:paraId="5D4F1F9F"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107.740.035</w:t>
            </w:r>
          </w:p>
        </w:tc>
      </w:tr>
      <w:tr w:rsidR="00924439" w:rsidRPr="00582936" w14:paraId="7B245A54" w14:textId="77777777" w:rsidTr="00BA7D1F">
        <w:trPr>
          <w:trHeight w:val="848"/>
        </w:trPr>
        <w:tc>
          <w:tcPr>
            <w:tcW w:w="1287" w:type="dxa"/>
            <w:tcBorders>
              <w:top w:val="nil"/>
              <w:left w:val="single" w:sz="8" w:space="0" w:color="auto"/>
              <w:bottom w:val="single" w:sz="8" w:space="0" w:color="auto"/>
              <w:right w:val="single" w:sz="8" w:space="0" w:color="auto"/>
            </w:tcBorders>
            <w:shd w:val="clear" w:color="auto" w:fill="auto"/>
            <w:vAlign w:val="center"/>
            <w:hideMark/>
          </w:tcPr>
          <w:p w14:paraId="3ADBAAF1" w14:textId="77777777" w:rsidR="00924439" w:rsidRPr="00582936" w:rsidRDefault="00924439" w:rsidP="00924439">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lastRenderedPageBreak/>
              <w:t>Total empresas fusionadas REESS 2022</w:t>
            </w:r>
          </w:p>
        </w:tc>
        <w:tc>
          <w:tcPr>
            <w:tcW w:w="858" w:type="dxa"/>
            <w:tcBorders>
              <w:top w:val="nil"/>
              <w:left w:val="nil"/>
              <w:bottom w:val="single" w:sz="8" w:space="0" w:color="auto"/>
              <w:right w:val="single" w:sz="8" w:space="0" w:color="auto"/>
            </w:tcBorders>
            <w:shd w:val="clear" w:color="auto" w:fill="auto"/>
            <w:noWrap/>
            <w:vAlign w:val="center"/>
            <w:hideMark/>
          </w:tcPr>
          <w:p w14:paraId="1839A7B6"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8.213</w:t>
            </w:r>
          </w:p>
        </w:tc>
        <w:tc>
          <w:tcPr>
            <w:tcW w:w="857" w:type="dxa"/>
            <w:tcBorders>
              <w:top w:val="nil"/>
              <w:left w:val="nil"/>
              <w:bottom w:val="single" w:sz="8" w:space="0" w:color="auto"/>
              <w:right w:val="single" w:sz="8" w:space="0" w:color="auto"/>
            </w:tcBorders>
            <w:shd w:val="clear" w:color="auto" w:fill="auto"/>
            <w:noWrap/>
            <w:vAlign w:val="center"/>
            <w:hideMark/>
          </w:tcPr>
          <w:p w14:paraId="76E3A185"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1.538</w:t>
            </w:r>
          </w:p>
        </w:tc>
        <w:tc>
          <w:tcPr>
            <w:tcW w:w="1002" w:type="dxa"/>
            <w:tcBorders>
              <w:top w:val="nil"/>
              <w:left w:val="nil"/>
              <w:bottom w:val="single" w:sz="8" w:space="0" w:color="auto"/>
              <w:right w:val="single" w:sz="8" w:space="0" w:color="auto"/>
            </w:tcBorders>
            <w:shd w:val="clear" w:color="auto" w:fill="auto"/>
            <w:noWrap/>
            <w:vAlign w:val="center"/>
            <w:hideMark/>
          </w:tcPr>
          <w:p w14:paraId="15B8523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9.751</w:t>
            </w:r>
          </w:p>
        </w:tc>
        <w:tc>
          <w:tcPr>
            <w:tcW w:w="1144" w:type="dxa"/>
            <w:tcBorders>
              <w:top w:val="nil"/>
              <w:left w:val="nil"/>
              <w:bottom w:val="single" w:sz="8" w:space="0" w:color="auto"/>
              <w:right w:val="single" w:sz="8" w:space="0" w:color="auto"/>
            </w:tcBorders>
            <w:shd w:val="clear" w:color="auto" w:fill="auto"/>
            <w:noWrap/>
            <w:vAlign w:val="center"/>
            <w:hideMark/>
          </w:tcPr>
          <w:p w14:paraId="5B360AC6"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16.094.663</w:t>
            </w:r>
          </w:p>
        </w:tc>
        <w:tc>
          <w:tcPr>
            <w:tcW w:w="1001" w:type="dxa"/>
            <w:tcBorders>
              <w:top w:val="nil"/>
              <w:left w:val="nil"/>
              <w:bottom w:val="single" w:sz="8" w:space="0" w:color="auto"/>
              <w:right w:val="single" w:sz="8" w:space="0" w:color="auto"/>
            </w:tcBorders>
            <w:shd w:val="clear" w:color="auto" w:fill="auto"/>
            <w:noWrap/>
            <w:vAlign w:val="center"/>
            <w:hideMark/>
          </w:tcPr>
          <w:p w14:paraId="43483A20"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2.952.584</w:t>
            </w:r>
          </w:p>
        </w:tc>
        <w:tc>
          <w:tcPr>
            <w:tcW w:w="1144" w:type="dxa"/>
            <w:tcBorders>
              <w:top w:val="nil"/>
              <w:left w:val="nil"/>
              <w:bottom w:val="single" w:sz="8" w:space="0" w:color="auto"/>
              <w:right w:val="single" w:sz="8" w:space="0" w:color="auto"/>
            </w:tcBorders>
            <w:shd w:val="clear" w:color="auto" w:fill="auto"/>
            <w:noWrap/>
            <w:vAlign w:val="center"/>
            <w:hideMark/>
          </w:tcPr>
          <w:p w14:paraId="44EAC28E"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19.047.247</w:t>
            </w:r>
          </w:p>
        </w:tc>
        <w:tc>
          <w:tcPr>
            <w:tcW w:w="1144" w:type="dxa"/>
            <w:tcBorders>
              <w:top w:val="nil"/>
              <w:left w:val="nil"/>
              <w:bottom w:val="single" w:sz="8" w:space="0" w:color="auto"/>
              <w:right w:val="single" w:sz="8" w:space="0" w:color="auto"/>
            </w:tcBorders>
            <w:shd w:val="clear" w:color="auto" w:fill="auto"/>
            <w:noWrap/>
            <w:vAlign w:val="center"/>
            <w:hideMark/>
          </w:tcPr>
          <w:p w14:paraId="7D368EC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186.652.658</w:t>
            </w:r>
          </w:p>
        </w:tc>
        <w:tc>
          <w:tcPr>
            <w:tcW w:w="1144" w:type="dxa"/>
            <w:tcBorders>
              <w:top w:val="nil"/>
              <w:left w:val="nil"/>
              <w:bottom w:val="single" w:sz="8" w:space="0" w:color="auto"/>
              <w:right w:val="single" w:sz="8" w:space="0" w:color="auto"/>
            </w:tcBorders>
            <w:shd w:val="clear" w:color="auto" w:fill="auto"/>
            <w:noWrap/>
            <w:vAlign w:val="center"/>
            <w:hideMark/>
          </w:tcPr>
          <w:p w14:paraId="310FAC20"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34.113.822</w:t>
            </w:r>
          </w:p>
        </w:tc>
        <w:tc>
          <w:tcPr>
            <w:tcW w:w="1144" w:type="dxa"/>
            <w:tcBorders>
              <w:top w:val="nil"/>
              <w:left w:val="nil"/>
              <w:bottom w:val="single" w:sz="8" w:space="0" w:color="auto"/>
              <w:right w:val="single" w:sz="8" w:space="0" w:color="auto"/>
            </w:tcBorders>
            <w:shd w:val="clear" w:color="auto" w:fill="auto"/>
            <w:noWrap/>
            <w:vAlign w:val="center"/>
            <w:hideMark/>
          </w:tcPr>
          <w:p w14:paraId="414B2702" w14:textId="77777777" w:rsidR="00924439" w:rsidRPr="00582936" w:rsidRDefault="00924439" w:rsidP="00924439">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220.766.480</w:t>
            </w:r>
          </w:p>
        </w:tc>
      </w:tr>
    </w:tbl>
    <w:p w14:paraId="3CAA4A38" w14:textId="77777777" w:rsidR="00924439" w:rsidRPr="00582936" w:rsidRDefault="00924439" w:rsidP="00924439">
      <w:pPr>
        <w:spacing w:line="276" w:lineRule="auto"/>
        <w:ind w:firstLine="708"/>
        <w:jc w:val="both"/>
        <w:rPr>
          <w:rFonts w:ascii="Century Gothic" w:eastAsia="Calibri" w:hAnsi="Century Gothic" w:cs="Calibri"/>
          <w:iCs/>
          <w:color w:val="6E6E7C"/>
          <w:sz w:val="16"/>
          <w:szCs w:val="18"/>
        </w:rPr>
      </w:pPr>
      <w:r w:rsidRPr="00582936">
        <w:rPr>
          <w:rFonts w:ascii="Century Gothic" w:eastAsia="Calibri" w:hAnsi="Century Gothic" w:cs="Calibri"/>
          <w:b/>
          <w:iCs/>
          <w:color w:val="6E6E7C"/>
          <w:sz w:val="16"/>
          <w:szCs w:val="18"/>
        </w:rPr>
        <w:t xml:space="preserve">Fuente: </w:t>
      </w:r>
      <w:r w:rsidRPr="00582936">
        <w:rPr>
          <w:rFonts w:ascii="Century Gothic" w:eastAsia="Calibri" w:hAnsi="Century Gothic" w:cs="Calibri"/>
          <w:iCs/>
          <w:color w:val="6E6E7C"/>
          <w:sz w:val="16"/>
          <w:szCs w:val="18"/>
        </w:rPr>
        <w:t>Proceso de estimación de la Encuesta Estructural.</w:t>
      </w:r>
    </w:p>
    <w:p w14:paraId="6BEE0A00" w14:textId="77777777" w:rsidR="00924439" w:rsidRPr="00582936" w:rsidRDefault="00924439" w:rsidP="00924439">
      <w:pPr>
        <w:spacing w:after="200" w:line="276" w:lineRule="auto"/>
        <w:ind w:firstLine="708"/>
        <w:jc w:val="both"/>
        <w:rPr>
          <w:rFonts w:ascii="Century Gothic" w:eastAsia="Calibri" w:hAnsi="Century Gothic" w:cs="Times New Roman"/>
          <w:iCs/>
          <w:color w:val="6E6E7C"/>
          <w:sz w:val="18"/>
          <w:szCs w:val="22"/>
          <w:lang w:eastAsia="es-EC"/>
        </w:rPr>
      </w:pPr>
      <w:r w:rsidRPr="00582936">
        <w:rPr>
          <w:rFonts w:ascii="Century Gothic" w:eastAsia="Calibri" w:hAnsi="Century Gothic" w:cs="Calibri"/>
          <w:b/>
          <w:iCs/>
          <w:color w:val="6E6E7C"/>
          <w:sz w:val="16"/>
          <w:szCs w:val="18"/>
        </w:rPr>
        <w:t>Elaboración:</w:t>
      </w:r>
      <w:r w:rsidRPr="00582936">
        <w:rPr>
          <w:rFonts w:ascii="Century Gothic" w:eastAsia="Calibri" w:hAnsi="Century Gothic" w:cs="Calibri"/>
          <w:iCs/>
          <w:color w:val="6E6E7C"/>
          <w:sz w:val="16"/>
          <w:szCs w:val="18"/>
        </w:rPr>
        <w:t xml:space="preserve"> Gestión de Estadísticas Estructurales (GESE)</w:t>
      </w:r>
    </w:p>
    <w:p w14:paraId="2602A307" w14:textId="77777777" w:rsidR="00924439" w:rsidRPr="00582936" w:rsidRDefault="00924439" w:rsidP="00924439">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La forma en la que se obtiene los resultados de cada una de las</w:t>
      </w:r>
      <w:r w:rsidR="00CF3585">
        <w:rPr>
          <w:rFonts w:ascii="Century Gothic" w:eastAsia="Calibri" w:hAnsi="Century Gothic" w:cs="Times New Roman"/>
          <w:iCs/>
          <w:color w:val="6E6E7C"/>
          <w:sz w:val="21"/>
          <w:szCs w:val="21"/>
        </w:rPr>
        <w:t xml:space="preserve"> columnas y filas de la tabla 11</w:t>
      </w:r>
      <w:r w:rsidRPr="00582936">
        <w:rPr>
          <w:rFonts w:ascii="Century Gothic" w:eastAsia="Calibri" w:hAnsi="Century Gothic" w:cs="Times New Roman"/>
          <w:iCs/>
          <w:color w:val="6E6E7C"/>
          <w:sz w:val="21"/>
          <w:szCs w:val="21"/>
        </w:rPr>
        <w:t xml:space="preserve"> es la siguiente: </w:t>
      </w:r>
    </w:p>
    <w:p w14:paraId="4E35154A" w14:textId="77777777" w:rsidR="00924439" w:rsidRPr="00582936" w:rsidRDefault="00924439" w:rsidP="00E5524A">
      <w:pPr>
        <w:numPr>
          <w:ilvl w:val="0"/>
          <w:numId w:val="30"/>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Fila Empresa 1%: Se obtiene el porcentaje de participación de la empresa 1 en base al total registrado en la fila Total empresa 1.</w:t>
      </w:r>
    </w:p>
    <w:p w14:paraId="657E983D" w14:textId="77777777" w:rsidR="00924439" w:rsidRPr="00582936" w:rsidRDefault="00924439" w:rsidP="00E5524A">
      <w:pPr>
        <w:numPr>
          <w:ilvl w:val="0"/>
          <w:numId w:val="30"/>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Fila Empresa 2%: Se obtiene el porcentaje de participación de la empresa 2 en base al total registrado en la fila Total empresa 1.</w:t>
      </w:r>
    </w:p>
    <w:p w14:paraId="44A34CA1" w14:textId="77777777" w:rsidR="00924439" w:rsidRPr="00582936" w:rsidRDefault="00924439" w:rsidP="00E5524A">
      <w:pPr>
        <w:numPr>
          <w:ilvl w:val="0"/>
          <w:numId w:val="30"/>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Fila Empresa 1 2022: Multiplicación entre la fila Total de la empresa 1 REES 2022 por el porcentaje calculado en “empresa 1 %”.</w:t>
      </w:r>
    </w:p>
    <w:p w14:paraId="47BF889E" w14:textId="77777777" w:rsidR="00924439" w:rsidRPr="00582936" w:rsidRDefault="00924439" w:rsidP="00E5524A">
      <w:pPr>
        <w:numPr>
          <w:ilvl w:val="0"/>
          <w:numId w:val="30"/>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Fila Empresa 2 2022: Multiplicación entre la fila Total de la empresa 2 REES 2022 por el porcentaje calculado en “empresa 2%”.</w:t>
      </w:r>
    </w:p>
    <w:p w14:paraId="1593E6D7" w14:textId="77777777" w:rsidR="002B0BB0" w:rsidRPr="00D27640" w:rsidRDefault="002B0BB0" w:rsidP="0094052A">
      <w:pPr>
        <w:pStyle w:val="Ttulo2"/>
        <w:numPr>
          <w:ilvl w:val="1"/>
          <w:numId w:val="2"/>
        </w:numPr>
        <w:spacing w:before="0" w:line="276" w:lineRule="auto"/>
        <w:jc w:val="both"/>
        <w:rPr>
          <w:rFonts w:eastAsiaTheme="minorHAnsi" w:cstheme="minorBidi"/>
          <w:bCs/>
          <w:color w:val="6E6E7C"/>
          <w:sz w:val="28"/>
          <w:szCs w:val="44"/>
        </w:rPr>
      </w:pPr>
      <w:bookmarkStart w:id="303" w:name="_Toc161322576"/>
      <w:r w:rsidRPr="00D27640">
        <w:rPr>
          <w:rFonts w:eastAsiaTheme="minorHAnsi" w:cstheme="minorBidi"/>
          <w:bCs/>
          <w:color w:val="6E6E7C"/>
          <w:sz w:val="28"/>
          <w:szCs w:val="44"/>
        </w:rPr>
        <w:t>Ajustar los factores de expansión</w:t>
      </w:r>
      <w:bookmarkEnd w:id="303"/>
      <w:r w:rsidRPr="00D27640">
        <w:rPr>
          <w:rFonts w:eastAsiaTheme="minorHAnsi" w:cstheme="minorBidi"/>
          <w:bCs/>
          <w:color w:val="6E6E7C"/>
          <w:sz w:val="28"/>
          <w:szCs w:val="44"/>
        </w:rPr>
        <w:t xml:space="preserve"> </w:t>
      </w:r>
    </w:p>
    <w:p w14:paraId="660B7622" w14:textId="77777777" w:rsidR="002B0BB0" w:rsidRPr="00582936" w:rsidRDefault="002B0BB0" w:rsidP="00561B82">
      <w:pPr>
        <w:rPr>
          <w:rFonts w:ascii="Century Gothic" w:hAnsi="Century Gothic"/>
          <w:color w:val="6E6E7C"/>
          <w:sz w:val="21"/>
          <w:szCs w:val="21"/>
        </w:rPr>
      </w:pPr>
    </w:p>
    <w:p w14:paraId="60BFE0C0" w14:textId="77777777" w:rsidR="002B0BB0" w:rsidRPr="00582936" w:rsidRDefault="002B0BB0" w:rsidP="002B0BB0">
      <w:pPr>
        <w:spacing w:after="20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rPr>
        <w:t>Una vez validada la base de datos, se pondera la muestra a la población objetivo, mediante el factor de expansión. Los factores de expansión están ligados al diseño de la investigación, de allí la importancia de contar con altas tasas de cobertura, ya que, si determinadas unidades de observación no son investigadas, se deben realizar ajustes a los factores de expansión, considerando la razón entre el número de unidades investigadas y las seleccionadas.</w:t>
      </w:r>
    </w:p>
    <w:p w14:paraId="3C1DFCE4"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304" w:name="_Toc113433942"/>
      <w:bookmarkStart w:id="305" w:name="_Toc113434046"/>
      <w:bookmarkStart w:id="306" w:name="_Toc113434113"/>
      <w:bookmarkStart w:id="307" w:name="_Toc113614352"/>
      <w:bookmarkStart w:id="308" w:name="_Toc116035370"/>
      <w:bookmarkStart w:id="309" w:name="_Toc116035471"/>
      <w:bookmarkStart w:id="310" w:name="_Toc116035647"/>
      <w:bookmarkStart w:id="311" w:name="_Toc124332748"/>
      <w:bookmarkStart w:id="312" w:name="_Toc126078001"/>
      <w:bookmarkStart w:id="313" w:name="_Toc126658007"/>
      <w:bookmarkStart w:id="314" w:name="_Toc131492809"/>
      <w:bookmarkStart w:id="315" w:name="_Toc113433943"/>
      <w:bookmarkStart w:id="316" w:name="_Toc113434047"/>
      <w:bookmarkStart w:id="317" w:name="_Toc113434114"/>
      <w:bookmarkStart w:id="318" w:name="_Toc113614353"/>
      <w:bookmarkStart w:id="319" w:name="_Toc116035371"/>
      <w:bookmarkStart w:id="320" w:name="_Toc116035472"/>
      <w:bookmarkStart w:id="321" w:name="_Toc116035648"/>
      <w:bookmarkStart w:id="322" w:name="_Toc124332749"/>
      <w:bookmarkStart w:id="323" w:name="_Toc126078002"/>
      <w:bookmarkStart w:id="324" w:name="_Toc126658008"/>
      <w:bookmarkStart w:id="325" w:name="_Toc131492810"/>
      <w:bookmarkStart w:id="326" w:name="_Toc113433944"/>
      <w:bookmarkStart w:id="327" w:name="_Toc113434048"/>
      <w:bookmarkStart w:id="328" w:name="_Toc113434115"/>
      <w:bookmarkStart w:id="329" w:name="_Toc113614354"/>
      <w:bookmarkStart w:id="330" w:name="_Toc116035372"/>
      <w:bookmarkStart w:id="331" w:name="_Toc116035473"/>
      <w:bookmarkStart w:id="332" w:name="_Toc116035649"/>
      <w:bookmarkStart w:id="333" w:name="_Toc124332750"/>
      <w:bookmarkStart w:id="334" w:name="_Toc126078003"/>
      <w:bookmarkStart w:id="335" w:name="_Toc126658009"/>
      <w:bookmarkStart w:id="336" w:name="_Toc131492811"/>
      <w:bookmarkStart w:id="337" w:name="_Toc126658010"/>
      <w:bookmarkStart w:id="338" w:name="_Toc148617359"/>
      <w:bookmarkStart w:id="339" w:name="_Toc161322577"/>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D27640">
        <w:rPr>
          <w:rFonts w:eastAsiaTheme="minorHAnsi" w:cstheme="minorBidi"/>
          <w:bCs/>
          <w:color w:val="6E6E7C"/>
          <w:sz w:val="28"/>
          <w:szCs w:val="44"/>
        </w:rPr>
        <w:t>Variables</w:t>
      </w:r>
      <w:bookmarkEnd w:id="337"/>
      <w:bookmarkEnd w:id="338"/>
      <w:bookmarkEnd w:id="339"/>
    </w:p>
    <w:p w14:paraId="657B9A2E" w14:textId="77777777" w:rsidR="00430FE6" w:rsidRDefault="002B0BB0" w:rsidP="004F05B9">
      <w:pPr>
        <w:keepNext/>
        <w:spacing w:line="276" w:lineRule="auto"/>
        <w:jc w:val="both"/>
        <w:rPr>
          <w:rFonts w:ascii="Century Gothic" w:eastAsia="Calibri" w:hAnsi="Century Gothic" w:cs="Times New Roman"/>
          <w:iCs/>
          <w:color w:val="6E6E7C"/>
          <w:sz w:val="21"/>
          <w:szCs w:val="21"/>
          <w:lang w:eastAsia="es-EC"/>
        </w:rPr>
      </w:pPr>
      <w:bookmarkStart w:id="340" w:name="_Toc412998124"/>
      <w:r w:rsidRPr="00582936">
        <w:rPr>
          <w:rFonts w:ascii="Century Gothic" w:eastAsia="Calibri" w:hAnsi="Century Gothic" w:cs="Times New Roman"/>
          <w:iCs/>
          <w:color w:val="6E6E7C"/>
          <w:sz w:val="21"/>
          <w:szCs w:val="21"/>
          <w:lang w:eastAsia="es-EC"/>
        </w:rPr>
        <w:t>Para el diseño y construcción de las variables, se considera las categorías utilizadas en investigaciones de años anteriores, con la finalidad de estandarizar la información y realizar análisis comparativos y evolutivos de la información procesada. En este apartado se describe las principales variables contempladas en la ENESEM:</w:t>
      </w:r>
    </w:p>
    <w:p w14:paraId="51D6D15E" w14:textId="77777777" w:rsidR="00CF3585" w:rsidRDefault="00CF3585" w:rsidP="002B0BB0">
      <w:pPr>
        <w:keepNext/>
        <w:spacing w:line="276" w:lineRule="auto"/>
        <w:rPr>
          <w:rFonts w:ascii="Century Gothic" w:eastAsia="Calibri" w:hAnsi="Century Gothic" w:cs="Times New Roman"/>
          <w:iCs/>
          <w:color w:val="6E6E7C"/>
          <w:sz w:val="21"/>
          <w:szCs w:val="21"/>
          <w:lang w:eastAsia="es-EC"/>
        </w:rPr>
      </w:pPr>
    </w:p>
    <w:p w14:paraId="392AEA40" w14:textId="77777777" w:rsidR="002B0BB0" w:rsidRPr="00582936" w:rsidRDefault="002B0BB0" w:rsidP="00CF3585">
      <w:pPr>
        <w:keepNext/>
        <w:spacing w:line="276" w:lineRule="auto"/>
        <w:jc w:val="center"/>
        <w:rPr>
          <w:rFonts w:ascii="Century Gothic" w:eastAsia="Calibri" w:hAnsi="Century Gothic" w:cs="Arial"/>
          <w:bCs/>
          <w:iCs/>
          <w:color w:val="6E6E7C"/>
          <w:sz w:val="18"/>
          <w:szCs w:val="18"/>
        </w:rPr>
      </w:pPr>
      <w:bookmarkStart w:id="341" w:name="_Toc7095968"/>
      <w:bookmarkStart w:id="342" w:name="_Toc101420785"/>
      <w:bookmarkStart w:id="343" w:name="_Toc128467611"/>
      <w:bookmarkStart w:id="344" w:name="_Toc130899609"/>
      <w:bookmarkStart w:id="345" w:name="_Toc157006151"/>
      <w:bookmarkStart w:id="346" w:name="_Toc157006976"/>
      <w:bookmarkStart w:id="347" w:name="_Toc157368492"/>
      <w:bookmarkStart w:id="348" w:name="_Toc157585787"/>
      <w:bookmarkStart w:id="349" w:name="_Toc157671124"/>
      <w:bookmarkStart w:id="350" w:name="_Toc158206890"/>
      <w:bookmarkStart w:id="351" w:name="_Toc161322606"/>
      <w:r w:rsidRPr="00582936">
        <w:rPr>
          <w:rFonts w:ascii="Century Gothic" w:eastAsia="Calibri" w:hAnsi="Century Gothic" w:cs="Times New Roman"/>
          <w:b/>
          <w:bCs/>
          <w:iCs/>
          <w:color w:val="6E6E7C"/>
          <w:sz w:val="18"/>
          <w:szCs w:val="18"/>
        </w:rPr>
        <w:t xml:space="preserve">Tabla </w:t>
      </w:r>
      <w:r w:rsidRPr="00582936">
        <w:rPr>
          <w:rFonts w:ascii="Century Gothic" w:eastAsia="Calibri" w:hAnsi="Century Gothic" w:cs="Times New Roman"/>
          <w:b/>
          <w:bCs/>
          <w:iCs/>
          <w:color w:val="6E6E7C"/>
          <w:sz w:val="18"/>
          <w:szCs w:val="18"/>
        </w:rPr>
        <w:fldChar w:fldCharType="begin"/>
      </w:r>
      <w:r w:rsidRPr="00582936">
        <w:rPr>
          <w:rFonts w:ascii="Century Gothic" w:eastAsia="Calibri" w:hAnsi="Century Gothic" w:cs="Times New Roman"/>
          <w:b/>
          <w:bCs/>
          <w:iCs/>
          <w:color w:val="6E6E7C"/>
          <w:sz w:val="18"/>
          <w:szCs w:val="18"/>
        </w:rPr>
        <w:instrText xml:space="preserve"> SEQ Tabla \* ARABIC </w:instrText>
      </w:r>
      <w:r w:rsidRPr="00582936">
        <w:rPr>
          <w:rFonts w:ascii="Century Gothic" w:eastAsia="Calibri" w:hAnsi="Century Gothic" w:cs="Times New Roman"/>
          <w:b/>
          <w:bCs/>
          <w:iCs/>
          <w:color w:val="6E6E7C"/>
          <w:sz w:val="18"/>
          <w:szCs w:val="18"/>
        </w:rPr>
        <w:fldChar w:fldCharType="separate"/>
      </w:r>
      <w:r w:rsidR="00CF3585">
        <w:rPr>
          <w:rFonts w:ascii="Century Gothic" w:eastAsia="Calibri" w:hAnsi="Century Gothic" w:cs="Times New Roman"/>
          <w:b/>
          <w:bCs/>
          <w:iCs/>
          <w:noProof/>
          <w:color w:val="6E6E7C"/>
          <w:sz w:val="18"/>
          <w:szCs w:val="18"/>
        </w:rPr>
        <w:t>12</w:t>
      </w:r>
      <w:r w:rsidRPr="00582936">
        <w:rPr>
          <w:rFonts w:ascii="Century Gothic" w:eastAsia="Calibri" w:hAnsi="Century Gothic" w:cs="Times New Roman"/>
          <w:b/>
          <w:bCs/>
          <w:iCs/>
          <w:color w:val="6E6E7C"/>
          <w:sz w:val="18"/>
          <w:szCs w:val="18"/>
        </w:rPr>
        <w:fldChar w:fldCharType="end"/>
      </w:r>
      <w:r w:rsidRPr="00582936">
        <w:rPr>
          <w:rFonts w:ascii="Century Gothic" w:eastAsia="Calibri" w:hAnsi="Century Gothic" w:cs="Times New Roman"/>
          <w:b/>
          <w:bCs/>
          <w:iCs/>
          <w:color w:val="6E6E7C"/>
          <w:sz w:val="18"/>
          <w:szCs w:val="18"/>
        </w:rPr>
        <w:t>.</w:t>
      </w:r>
      <w:r w:rsidRPr="00582936">
        <w:rPr>
          <w:rFonts w:ascii="Century Gothic" w:eastAsia="Calibri" w:hAnsi="Century Gothic" w:cs="Arial"/>
          <w:b/>
          <w:iCs/>
          <w:color w:val="6E6E7C"/>
          <w:sz w:val="18"/>
          <w:szCs w:val="18"/>
        </w:rPr>
        <w:t xml:space="preserve"> </w:t>
      </w:r>
      <w:r w:rsidRPr="00582936">
        <w:rPr>
          <w:rFonts w:ascii="Century Gothic" w:eastAsia="Calibri" w:hAnsi="Century Gothic" w:cs="Arial"/>
          <w:bCs/>
          <w:iCs/>
          <w:color w:val="6E6E7C"/>
          <w:sz w:val="18"/>
          <w:szCs w:val="18"/>
        </w:rPr>
        <w:t>Lista de las principales variables.</w:t>
      </w:r>
      <w:bookmarkEnd w:id="341"/>
      <w:bookmarkEnd w:id="342"/>
      <w:bookmarkEnd w:id="343"/>
      <w:bookmarkEnd w:id="344"/>
      <w:bookmarkEnd w:id="345"/>
      <w:bookmarkEnd w:id="346"/>
      <w:bookmarkEnd w:id="347"/>
      <w:bookmarkEnd w:id="348"/>
      <w:bookmarkEnd w:id="349"/>
      <w:bookmarkEnd w:id="350"/>
      <w:bookmarkEnd w:id="351"/>
    </w:p>
    <w:tbl>
      <w:tblPr>
        <w:tblStyle w:val="Sombreadoclaro-nfasis3"/>
        <w:tblW w:w="10010" w:type="dxa"/>
        <w:jc w:val="center"/>
        <w:tbl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insideH w:val="single" w:sz="8" w:space="0" w:color="767171" w:themeColor="background2" w:themeShade="80"/>
          <w:insideV w:val="single" w:sz="8" w:space="0" w:color="767171" w:themeColor="background2" w:themeShade="80"/>
        </w:tblBorders>
        <w:tblLook w:val="04A0" w:firstRow="1" w:lastRow="0" w:firstColumn="1" w:lastColumn="0" w:noHBand="0" w:noVBand="1"/>
      </w:tblPr>
      <w:tblGrid>
        <w:gridCol w:w="1253"/>
        <w:gridCol w:w="2518"/>
        <w:gridCol w:w="3469"/>
        <w:gridCol w:w="1270"/>
        <w:gridCol w:w="1500"/>
      </w:tblGrid>
      <w:tr w:rsidR="002B0BB0" w:rsidRPr="00582936" w14:paraId="07A07230" w14:textId="77777777" w:rsidTr="00460317">
        <w:trPr>
          <w:cnfStyle w:val="100000000000" w:firstRow="1" w:lastRow="0" w:firstColumn="0" w:lastColumn="0" w:oddVBand="0" w:evenVBand="0" w:oddHBand="0" w:evenHBand="0" w:firstRowFirstColumn="0" w:firstRowLastColumn="0" w:lastRowFirstColumn="0" w:lastRowLastColumn="0"/>
          <w:trHeight w:val="367"/>
          <w:jc w:val="center"/>
        </w:trPr>
        <w:tc>
          <w:tcPr>
            <w:cnfStyle w:val="001000000000" w:firstRow="0" w:lastRow="0" w:firstColumn="1" w:lastColumn="0" w:oddVBand="0" w:evenVBand="0" w:oddHBand="0" w:evenHBand="0" w:firstRowFirstColumn="0" w:firstRowLastColumn="0" w:lastRowFirstColumn="0" w:lastRowLastColumn="0"/>
            <w:tcW w:w="1253" w:type="dxa"/>
            <w:tcBorders>
              <w:top w:val="none" w:sz="0" w:space="0" w:color="auto"/>
              <w:left w:val="none" w:sz="0" w:space="0" w:color="auto"/>
              <w:bottom w:val="none" w:sz="0" w:space="0" w:color="auto"/>
              <w:right w:val="none" w:sz="0" w:space="0" w:color="auto"/>
            </w:tcBorders>
            <w:shd w:val="clear" w:color="auto" w:fill="4266CE"/>
            <w:vAlign w:val="center"/>
            <w:hideMark/>
          </w:tcPr>
          <w:p w14:paraId="3E6970B1" w14:textId="77777777" w:rsidR="002B0BB0" w:rsidRPr="00460317" w:rsidRDefault="002B0BB0" w:rsidP="000F7A8B">
            <w:pPr>
              <w:jc w:val="center"/>
              <w:rPr>
                <w:rFonts w:ascii="Century Gothic" w:eastAsia="Times New Roman" w:hAnsi="Century Gothic" w:cs="Times New Roman"/>
                <w:bCs w:val="0"/>
                <w:color w:val="FFFFFF" w:themeColor="background1"/>
                <w:sz w:val="16"/>
                <w:szCs w:val="16"/>
                <w:lang w:eastAsia="es-EC"/>
              </w:rPr>
            </w:pPr>
            <w:r w:rsidRPr="00460317">
              <w:rPr>
                <w:rFonts w:ascii="Century Gothic" w:eastAsia="Times New Roman" w:hAnsi="Century Gothic" w:cs="Times New Roman"/>
                <w:bCs w:val="0"/>
                <w:color w:val="FFFFFF" w:themeColor="background1"/>
                <w:sz w:val="16"/>
                <w:szCs w:val="16"/>
                <w:lang w:eastAsia="es-EC"/>
              </w:rPr>
              <w:t>Código de la variable</w:t>
            </w:r>
          </w:p>
        </w:tc>
        <w:tc>
          <w:tcPr>
            <w:tcW w:w="2518" w:type="dxa"/>
            <w:tcBorders>
              <w:top w:val="none" w:sz="0" w:space="0" w:color="auto"/>
              <w:left w:val="none" w:sz="0" w:space="0" w:color="auto"/>
              <w:bottom w:val="none" w:sz="0" w:space="0" w:color="auto"/>
              <w:right w:val="none" w:sz="0" w:space="0" w:color="auto"/>
            </w:tcBorders>
            <w:shd w:val="clear" w:color="auto" w:fill="4266CE"/>
            <w:vAlign w:val="center"/>
            <w:hideMark/>
          </w:tcPr>
          <w:p w14:paraId="6E150F2A" w14:textId="77777777" w:rsidR="002B0BB0" w:rsidRPr="00460317" w:rsidRDefault="002B0BB0" w:rsidP="000F7A8B">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FFFFFF" w:themeColor="background1"/>
                <w:sz w:val="16"/>
                <w:szCs w:val="16"/>
                <w:lang w:eastAsia="es-EC"/>
              </w:rPr>
            </w:pPr>
            <w:r w:rsidRPr="00460317">
              <w:rPr>
                <w:rFonts w:ascii="Century Gothic" w:eastAsia="Times New Roman" w:hAnsi="Century Gothic" w:cs="Times New Roman"/>
                <w:bCs w:val="0"/>
                <w:color w:val="FFFFFF" w:themeColor="background1"/>
                <w:sz w:val="16"/>
                <w:szCs w:val="16"/>
                <w:lang w:eastAsia="es-EC"/>
              </w:rPr>
              <w:t>Nombre de la variable</w:t>
            </w:r>
          </w:p>
        </w:tc>
        <w:tc>
          <w:tcPr>
            <w:tcW w:w="3469" w:type="dxa"/>
            <w:tcBorders>
              <w:top w:val="none" w:sz="0" w:space="0" w:color="auto"/>
              <w:left w:val="none" w:sz="0" w:space="0" w:color="auto"/>
              <w:bottom w:val="none" w:sz="0" w:space="0" w:color="auto"/>
              <w:right w:val="none" w:sz="0" w:space="0" w:color="auto"/>
            </w:tcBorders>
            <w:shd w:val="clear" w:color="auto" w:fill="4266CE"/>
            <w:vAlign w:val="center"/>
            <w:hideMark/>
          </w:tcPr>
          <w:p w14:paraId="38F3A86F" w14:textId="77777777" w:rsidR="002B0BB0" w:rsidRPr="00460317" w:rsidRDefault="002B0BB0" w:rsidP="000F7A8B">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FFFFFF" w:themeColor="background1"/>
                <w:sz w:val="16"/>
                <w:szCs w:val="16"/>
                <w:lang w:eastAsia="es-EC"/>
              </w:rPr>
            </w:pPr>
            <w:r w:rsidRPr="00460317">
              <w:rPr>
                <w:rFonts w:ascii="Century Gothic" w:eastAsia="Times New Roman" w:hAnsi="Century Gothic" w:cs="Times New Roman"/>
                <w:bCs w:val="0"/>
                <w:color w:val="FFFFFF" w:themeColor="background1"/>
                <w:sz w:val="16"/>
                <w:szCs w:val="16"/>
                <w:lang w:eastAsia="es-EC"/>
              </w:rPr>
              <w:t>Definición de la variable</w:t>
            </w:r>
          </w:p>
        </w:tc>
        <w:tc>
          <w:tcPr>
            <w:tcW w:w="1270" w:type="dxa"/>
            <w:tcBorders>
              <w:top w:val="none" w:sz="0" w:space="0" w:color="auto"/>
              <w:left w:val="none" w:sz="0" w:space="0" w:color="auto"/>
              <w:bottom w:val="none" w:sz="0" w:space="0" w:color="auto"/>
              <w:right w:val="none" w:sz="0" w:space="0" w:color="auto"/>
            </w:tcBorders>
            <w:shd w:val="clear" w:color="auto" w:fill="4266CE"/>
            <w:vAlign w:val="center"/>
            <w:hideMark/>
          </w:tcPr>
          <w:p w14:paraId="76916CA2" w14:textId="77777777" w:rsidR="002B0BB0" w:rsidRPr="00460317" w:rsidRDefault="002B0BB0" w:rsidP="000F7A8B">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FFFFFF" w:themeColor="background1"/>
                <w:sz w:val="16"/>
                <w:szCs w:val="16"/>
                <w:lang w:eastAsia="es-EC"/>
              </w:rPr>
            </w:pPr>
            <w:r w:rsidRPr="00460317">
              <w:rPr>
                <w:rFonts w:ascii="Century Gothic" w:eastAsia="Times New Roman" w:hAnsi="Century Gothic" w:cs="Times New Roman"/>
                <w:bCs w:val="0"/>
                <w:color w:val="FFFFFF" w:themeColor="background1"/>
                <w:sz w:val="16"/>
                <w:szCs w:val="16"/>
                <w:lang w:eastAsia="es-EC"/>
              </w:rPr>
              <w:t>Formato de la variable</w:t>
            </w:r>
          </w:p>
        </w:tc>
        <w:tc>
          <w:tcPr>
            <w:tcW w:w="1500" w:type="dxa"/>
            <w:tcBorders>
              <w:top w:val="none" w:sz="0" w:space="0" w:color="auto"/>
              <w:left w:val="none" w:sz="0" w:space="0" w:color="auto"/>
              <w:bottom w:val="none" w:sz="0" w:space="0" w:color="auto"/>
              <w:right w:val="none" w:sz="0" w:space="0" w:color="auto"/>
            </w:tcBorders>
            <w:shd w:val="clear" w:color="auto" w:fill="4266CE"/>
            <w:vAlign w:val="center"/>
            <w:hideMark/>
          </w:tcPr>
          <w:p w14:paraId="4401798A" w14:textId="77777777" w:rsidR="002B0BB0" w:rsidRPr="00460317" w:rsidRDefault="002B0BB0" w:rsidP="000F7A8B">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bCs w:val="0"/>
                <w:color w:val="FFFFFF" w:themeColor="background1"/>
                <w:sz w:val="16"/>
                <w:szCs w:val="16"/>
                <w:lang w:eastAsia="es-EC"/>
              </w:rPr>
            </w:pPr>
            <w:r w:rsidRPr="00460317">
              <w:rPr>
                <w:rFonts w:ascii="Century Gothic" w:eastAsia="Times New Roman" w:hAnsi="Century Gothic" w:cs="Times New Roman"/>
                <w:bCs w:val="0"/>
                <w:color w:val="FFFFFF" w:themeColor="background1"/>
                <w:sz w:val="16"/>
                <w:szCs w:val="16"/>
                <w:lang w:eastAsia="es-EC"/>
              </w:rPr>
              <w:t>Categorías de la variable</w:t>
            </w:r>
          </w:p>
        </w:tc>
      </w:tr>
      <w:tr w:rsidR="002B0BB0" w:rsidRPr="00582936" w14:paraId="107F2DCD" w14:textId="77777777" w:rsidTr="00BA7D1F">
        <w:trPr>
          <w:cnfStyle w:val="000000100000" w:firstRow="0" w:lastRow="0" w:firstColumn="0" w:lastColumn="0" w:oddVBand="0" w:evenVBand="0" w:oddHBand="1" w:evenHBand="0" w:firstRowFirstColumn="0" w:firstRowLastColumn="0" w:lastRowFirstColumn="0" w:lastRowLastColumn="0"/>
          <w:trHeight w:val="588"/>
          <w:jc w:val="center"/>
        </w:trPr>
        <w:tc>
          <w:tcPr>
            <w:cnfStyle w:val="001000000000" w:firstRow="0" w:lastRow="0" w:firstColumn="1" w:lastColumn="0" w:oddVBand="0" w:evenVBand="0" w:oddHBand="0" w:evenHBand="0" w:firstRowFirstColumn="0" w:firstRowLastColumn="0" w:lastRowFirstColumn="0" w:lastRowLastColumn="0"/>
            <w:tcW w:w="1253" w:type="dxa"/>
            <w:tcBorders>
              <w:left w:val="none" w:sz="0" w:space="0" w:color="auto"/>
              <w:right w:val="none" w:sz="0" w:space="0" w:color="auto"/>
            </w:tcBorders>
            <w:shd w:val="clear" w:color="auto" w:fill="FFFFFF" w:themeFill="background1"/>
            <w:vAlign w:val="center"/>
          </w:tcPr>
          <w:p w14:paraId="314940C1"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proofErr w:type="spellStart"/>
            <w:r w:rsidRPr="00582936">
              <w:rPr>
                <w:rFonts w:ascii="Century Gothic" w:eastAsia="Times New Roman" w:hAnsi="Century Gothic" w:cs="Times New Roman"/>
                <w:b w:val="0"/>
                <w:bCs w:val="0"/>
                <w:color w:val="6E6E7C"/>
                <w:sz w:val="16"/>
                <w:szCs w:val="16"/>
                <w:lang w:eastAsia="es-EC"/>
              </w:rPr>
              <w:t>cod_letra</w:t>
            </w:r>
            <w:proofErr w:type="spellEnd"/>
          </w:p>
        </w:tc>
        <w:tc>
          <w:tcPr>
            <w:tcW w:w="2518" w:type="dxa"/>
            <w:tcBorders>
              <w:left w:val="none" w:sz="0" w:space="0" w:color="auto"/>
              <w:right w:val="none" w:sz="0" w:space="0" w:color="auto"/>
            </w:tcBorders>
            <w:shd w:val="clear" w:color="auto" w:fill="FFFFFF" w:themeFill="background1"/>
            <w:noWrap/>
            <w:vAlign w:val="center"/>
          </w:tcPr>
          <w:p w14:paraId="6245F11F"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Código Sección (CIIU)</w:t>
            </w:r>
          </w:p>
        </w:tc>
        <w:tc>
          <w:tcPr>
            <w:tcW w:w="3469" w:type="dxa"/>
            <w:tcBorders>
              <w:left w:val="none" w:sz="0" w:space="0" w:color="auto"/>
              <w:right w:val="none" w:sz="0" w:space="0" w:color="auto"/>
            </w:tcBorders>
            <w:shd w:val="clear" w:color="auto" w:fill="FFFFFF" w:themeFill="background1"/>
            <w:vAlign w:val="center"/>
          </w:tcPr>
          <w:p w14:paraId="30401744"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Corresponde a la actividad principal que desarrolla la empresa de acuerdo con la Clasificación Industrial Internacional Uniforme (CIIU).</w:t>
            </w:r>
          </w:p>
        </w:tc>
        <w:tc>
          <w:tcPr>
            <w:tcW w:w="1270" w:type="dxa"/>
            <w:tcBorders>
              <w:left w:val="none" w:sz="0" w:space="0" w:color="auto"/>
              <w:right w:val="none" w:sz="0" w:space="0" w:color="auto"/>
            </w:tcBorders>
            <w:shd w:val="clear" w:color="auto" w:fill="FFFFFF" w:themeFill="background1"/>
            <w:vAlign w:val="center"/>
          </w:tcPr>
          <w:p w14:paraId="25C95FD9"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Cadena</w:t>
            </w:r>
          </w:p>
        </w:tc>
        <w:tc>
          <w:tcPr>
            <w:tcW w:w="1500" w:type="dxa"/>
            <w:tcBorders>
              <w:left w:val="none" w:sz="0" w:space="0" w:color="auto"/>
              <w:right w:val="none" w:sz="0" w:space="0" w:color="auto"/>
            </w:tcBorders>
            <w:shd w:val="clear" w:color="auto" w:fill="FFFFFF" w:themeFill="background1"/>
            <w:noWrap/>
            <w:vAlign w:val="center"/>
          </w:tcPr>
          <w:p w14:paraId="396EE0FF"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val="en-US" w:eastAsia="es-EC"/>
              </w:rPr>
            </w:pPr>
            <w:r w:rsidRPr="00582936">
              <w:rPr>
                <w:rFonts w:ascii="Century Gothic" w:eastAsia="Times New Roman" w:hAnsi="Century Gothic" w:cs="Times New Roman"/>
                <w:bCs/>
                <w:color w:val="6E6E7C"/>
                <w:sz w:val="16"/>
                <w:szCs w:val="16"/>
                <w:lang w:val="en-US" w:eastAsia="es-EC"/>
              </w:rPr>
              <w:t>B; C; D; E</w:t>
            </w:r>
          </w:p>
          <w:p w14:paraId="6DBA7651"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val="en-US" w:eastAsia="es-EC"/>
              </w:rPr>
            </w:pPr>
            <w:r w:rsidRPr="00582936">
              <w:rPr>
                <w:rFonts w:ascii="Century Gothic" w:eastAsia="Times New Roman" w:hAnsi="Century Gothic" w:cs="Times New Roman"/>
                <w:bCs/>
                <w:color w:val="6E6E7C"/>
                <w:sz w:val="16"/>
                <w:szCs w:val="16"/>
                <w:lang w:val="en-US" w:eastAsia="es-EC"/>
              </w:rPr>
              <w:t>F; G; H; I</w:t>
            </w:r>
          </w:p>
          <w:p w14:paraId="2559FFE8"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val="en-US" w:eastAsia="es-EC"/>
              </w:rPr>
            </w:pPr>
            <w:r w:rsidRPr="00582936">
              <w:rPr>
                <w:rFonts w:ascii="Century Gothic" w:eastAsia="Times New Roman" w:hAnsi="Century Gothic" w:cs="Times New Roman"/>
                <w:bCs/>
                <w:color w:val="6E6E7C"/>
                <w:sz w:val="16"/>
                <w:szCs w:val="16"/>
                <w:lang w:val="en-US" w:eastAsia="es-EC"/>
              </w:rPr>
              <w:t>J; K; L; M</w:t>
            </w:r>
          </w:p>
          <w:p w14:paraId="08BB3223"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val="en-US" w:eastAsia="es-EC"/>
              </w:rPr>
            </w:pPr>
            <w:r w:rsidRPr="00582936">
              <w:rPr>
                <w:rFonts w:ascii="Century Gothic" w:eastAsia="Times New Roman" w:hAnsi="Century Gothic" w:cs="Times New Roman"/>
                <w:bCs/>
                <w:color w:val="6E6E7C"/>
                <w:sz w:val="16"/>
                <w:szCs w:val="16"/>
                <w:lang w:val="en-US" w:eastAsia="es-EC"/>
              </w:rPr>
              <w:t>N; P; Q; R; S</w:t>
            </w:r>
          </w:p>
        </w:tc>
      </w:tr>
      <w:tr w:rsidR="002B0BB0" w:rsidRPr="00582936" w14:paraId="08C31262" w14:textId="77777777" w:rsidTr="00BA7D1F">
        <w:trPr>
          <w:trHeight w:val="588"/>
          <w:jc w:val="center"/>
        </w:trPr>
        <w:tc>
          <w:tcPr>
            <w:cnfStyle w:val="001000000000" w:firstRow="0" w:lastRow="0" w:firstColumn="1" w:lastColumn="0" w:oddVBand="0" w:evenVBand="0" w:oddHBand="0" w:evenHBand="0" w:firstRowFirstColumn="0" w:firstRowLastColumn="0" w:lastRowFirstColumn="0" w:lastRowLastColumn="0"/>
            <w:tcW w:w="1253" w:type="dxa"/>
            <w:shd w:val="clear" w:color="auto" w:fill="FFFFFF" w:themeFill="background1"/>
            <w:vAlign w:val="center"/>
          </w:tcPr>
          <w:p w14:paraId="7A0CD714"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proofErr w:type="spellStart"/>
            <w:r w:rsidRPr="00582936">
              <w:rPr>
                <w:rFonts w:ascii="Century Gothic" w:eastAsia="Times New Roman" w:hAnsi="Century Gothic" w:cs="Times New Roman"/>
                <w:b w:val="0"/>
                <w:bCs w:val="0"/>
                <w:color w:val="6E6E7C"/>
                <w:sz w:val="16"/>
                <w:szCs w:val="16"/>
                <w:lang w:eastAsia="es-EC"/>
              </w:rPr>
              <w:t>des_sector</w:t>
            </w:r>
            <w:proofErr w:type="spellEnd"/>
          </w:p>
        </w:tc>
        <w:tc>
          <w:tcPr>
            <w:tcW w:w="2518" w:type="dxa"/>
            <w:shd w:val="clear" w:color="auto" w:fill="FFFFFF" w:themeFill="background1"/>
            <w:noWrap/>
            <w:vAlign w:val="center"/>
          </w:tcPr>
          <w:p w14:paraId="59A410A7"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Descripción Sector Económico</w:t>
            </w:r>
          </w:p>
        </w:tc>
        <w:tc>
          <w:tcPr>
            <w:tcW w:w="3469" w:type="dxa"/>
            <w:shd w:val="clear" w:color="auto" w:fill="FFFFFF" w:themeFill="background1"/>
            <w:vAlign w:val="center"/>
          </w:tcPr>
          <w:p w14:paraId="061FB036"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Describe la actividad de la económica la empresa.</w:t>
            </w:r>
          </w:p>
        </w:tc>
        <w:tc>
          <w:tcPr>
            <w:tcW w:w="1270" w:type="dxa"/>
            <w:shd w:val="clear" w:color="auto" w:fill="FFFFFF" w:themeFill="background1"/>
            <w:vAlign w:val="center"/>
          </w:tcPr>
          <w:p w14:paraId="08B7BD6B"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Cadena</w:t>
            </w:r>
          </w:p>
        </w:tc>
        <w:tc>
          <w:tcPr>
            <w:tcW w:w="1500" w:type="dxa"/>
            <w:shd w:val="clear" w:color="auto" w:fill="FFFFFF" w:themeFill="background1"/>
            <w:noWrap/>
            <w:vAlign w:val="center"/>
          </w:tcPr>
          <w:p w14:paraId="0BEA7563"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Manufactura</w:t>
            </w:r>
          </w:p>
          <w:p w14:paraId="3CA5FD54"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Minería</w:t>
            </w:r>
          </w:p>
          <w:p w14:paraId="46F4595B"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Comercio</w:t>
            </w:r>
          </w:p>
          <w:p w14:paraId="2714C9BB"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Construcción</w:t>
            </w:r>
          </w:p>
          <w:p w14:paraId="638BE452"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Servicios</w:t>
            </w:r>
          </w:p>
        </w:tc>
      </w:tr>
      <w:tr w:rsidR="002B0BB0" w:rsidRPr="00582936" w14:paraId="06A4FE1D" w14:textId="77777777" w:rsidTr="00BA7D1F">
        <w:trPr>
          <w:cnfStyle w:val="000000100000" w:firstRow="0" w:lastRow="0" w:firstColumn="0" w:lastColumn="0" w:oddVBand="0" w:evenVBand="0" w:oddHBand="1" w:evenHBand="0" w:firstRowFirstColumn="0" w:firstRowLastColumn="0" w:lastRowFirstColumn="0" w:lastRowLastColumn="0"/>
          <w:trHeight w:val="588"/>
          <w:jc w:val="center"/>
        </w:trPr>
        <w:tc>
          <w:tcPr>
            <w:cnfStyle w:val="001000000000" w:firstRow="0" w:lastRow="0" w:firstColumn="1" w:lastColumn="0" w:oddVBand="0" w:evenVBand="0" w:oddHBand="0" w:evenHBand="0" w:firstRowFirstColumn="0" w:firstRowLastColumn="0" w:lastRowFirstColumn="0" w:lastRowLastColumn="0"/>
            <w:tcW w:w="1253" w:type="dxa"/>
            <w:tcBorders>
              <w:left w:val="none" w:sz="0" w:space="0" w:color="auto"/>
              <w:right w:val="none" w:sz="0" w:space="0" w:color="auto"/>
            </w:tcBorders>
            <w:shd w:val="clear" w:color="auto" w:fill="FFFFFF" w:themeFill="background1"/>
            <w:vAlign w:val="center"/>
          </w:tcPr>
          <w:p w14:paraId="3EA4DEFE"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r w:rsidRPr="00582936">
              <w:rPr>
                <w:rFonts w:ascii="Century Gothic" w:eastAsia="Times New Roman" w:hAnsi="Century Gothic" w:cs="Times New Roman"/>
                <w:b w:val="0"/>
                <w:bCs w:val="0"/>
                <w:color w:val="6E6E7C"/>
                <w:sz w:val="16"/>
                <w:szCs w:val="16"/>
                <w:lang w:eastAsia="es-EC"/>
              </w:rPr>
              <w:t>v2001</w:t>
            </w:r>
          </w:p>
        </w:tc>
        <w:tc>
          <w:tcPr>
            <w:tcW w:w="2518" w:type="dxa"/>
            <w:tcBorders>
              <w:left w:val="none" w:sz="0" w:space="0" w:color="auto"/>
              <w:right w:val="none" w:sz="0" w:space="0" w:color="auto"/>
            </w:tcBorders>
            <w:shd w:val="clear" w:color="auto" w:fill="FFFFFF" w:themeFill="background1"/>
            <w:noWrap/>
            <w:vAlign w:val="center"/>
          </w:tcPr>
          <w:p w14:paraId="560B8240"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Ventas netas de bienes producidos por la empresa</w:t>
            </w:r>
          </w:p>
        </w:tc>
        <w:tc>
          <w:tcPr>
            <w:tcW w:w="3469" w:type="dxa"/>
            <w:tcBorders>
              <w:left w:val="none" w:sz="0" w:space="0" w:color="auto"/>
              <w:right w:val="none" w:sz="0" w:space="0" w:color="auto"/>
            </w:tcBorders>
            <w:shd w:val="clear" w:color="auto" w:fill="FFFFFF" w:themeFill="background1"/>
            <w:vAlign w:val="center"/>
          </w:tcPr>
          <w:p w14:paraId="1290B223"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 xml:space="preserve">Ventas de aquellos productos terminados, que surgen del proceso productivo de las empresas manufactureras. </w:t>
            </w:r>
          </w:p>
        </w:tc>
        <w:tc>
          <w:tcPr>
            <w:tcW w:w="1270" w:type="dxa"/>
            <w:tcBorders>
              <w:left w:val="none" w:sz="0" w:space="0" w:color="auto"/>
              <w:right w:val="none" w:sz="0" w:space="0" w:color="auto"/>
            </w:tcBorders>
            <w:shd w:val="clear" w:color="auto" w:fill="FFFFFF" w:themeFill="background1"/>
            <w:vAlign w:val="center"/>
          </w:tcPr>
          <w:p w14:paraId="540E96DF"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tcBorders>
              <w:left w:val="none" w:sz="0" w:space="0" w:color="auto"/>
              <w:right w:val="none" w:sz="0" w:space="0" w:color="auto"/>
            </w:tcBorders>
            <w:shd w:val="clear" w:color="auto" w:fill="FFFFFF" w:themeFill="background1"/>
            <w:noWrap/>
            <w:vAlign w:val="center"/>
          </w:tcPr>
          <w:p w14:paraId="4EBEBEA7"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4F1DDB39" w14:textId="77777777" w:rsidTr="00BA7D1F">
        <w:trPr>
          <w:trHeight w:val="700"/>
          <w:jc w:val="center"/>
        </w:trPr>
        <w:tc>
          <w:tcPr>
            <w:cnfStyle w:val="001000000000" w:firstRow="0" w:lastRow="0" w:firstColumn="1" w:lastColumn="0" w:oddVBand="0" w:evenVBand="0" w:oddHBand="0" w:evenHBand="0" w:firstRowFirstColumn="0" w:firstRowLastColumn="0" w:lastRowFirstColumn="0" w:lastRowLastColumn="0"/>
            <w:tcW w:w="1253" w:type="dxa"/>
            <w:shd w:val="clear" w:color="auto" w:fill="FFFFFF" w:themeFill="background1"/>
            <w:vAlign w:val="center"/>
          </w:tcPr>
          <w:p w14:paraId="02B5522A"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r w:rsidRPr="00582936">
              <w:rPr>
                <w:rFonts w:ascii="Century Gothic" w:eastAsia="Times New Roman" w:hAnsi="Century Gothic" w:cs="Times New Roman"/>
                <w:b w:val="0"/>
                <w:bCs w:val="0"/>
                <w:color w:val="6E6E7C"/>
                <w:sz w:val="16"/>
                <w:szCs w:val="16"/>
                <w:lang w:eastAsia="es-EC"/>
              </w:rPr>
              <w:t>v2002</w:t>
            </w:r>
          </w:p>
        </w:tc>
        <w:tc>
          <w:tcPr>
            <w:tcW w:w="2518" w:type="dxa"/>
            <w:shd w:val="clear" w:color="auto" w:fill="FFFFFF" w:themeFill="background1"/>
            <w:noWrap/>
            <w:vAlign w:val="center"/>
          </w:tcPr>
          <w:p w14:paraId="011DCE82"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Ventas netas de bienes comercializados por la empresa al por mayor</w:t>
            </w:r>
          </w:p>
        </w:tc>
        <w:tc>
          <w:tcPr>
            <w:tcW w:w="3469" w:type="dxa"/>
            <w:shd w:val="clear" w:color="auto" w:fill="FFFFFF" w:themeFill="background1"/>
            <w:vAlign w:val="center"/>
          </w:tcPr>
          <w:p w14:paraId="6F87FC03"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Ventas de los artículos que se vendieron al por mayor, en el mismo estado en el que se adquirió o compró el bien.</w:t>
            </w:r>
          </w:p>
        </w:tc>
        <w:tc>
          <w:tcPr>
            <w:tcW w:w="1270" w:type="dxa"/>
            <w:shd w:val="clear" w:color="auto" w:fill="FFFFFF" w:themeFill="background1"/>
            <w:vAlign w:val="center"/>
          </w:tcPr>
          <w:p w14:paraId="4EDBE510"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shd w:val="clear" w:color="auto" w:fill="FFFFFF" w:themeFill="background1"/>
            <w:noWrap/>
            <w:vAlign w:val="center"/>
          </w:tcPr>
          <w:p w14:paraId="64EF65B6"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48E75555" w14:textId="77777777" w:rsidTr="00BA7D1F">
        <w:trPr>
          <w:cnfStyle w:val="000000100000" w:firstRow="0" w:lastRow="0" w:firstColumn="0" w:lastColumn="0" w:oddVBand="0" w:evenVBand="0" w:oddHBand="1" w:evenHBand="0" w:firstRowFirstColumn="0" w:firstRowLastColumn="0" w:lastRowFirstColumn="0" w:lastRowLastColumn="0"/>
          <w:trHeight w:val="607"/>
          <w:jc w:val="center"/>
        </w:trPr>
        <w:tc>
          <w:tcPr>
            <w:cnfStyle w:val="001000000000" w:firstRow="0" w:lastRow="0" w:firstColumn="1" w:lastColumn="0" w:oddVBand="0" w:evenVBand="0" w:oddHBand="0" w:evenHBand="0" w:firstRowFirstColumn="0" w:firstRowLastColumn="0" w:lastRowFirstColumn="0" w:lastRowLastColumn="0"/>
            <w:tcW w:w="1253" w:type="dxa"/>
            <w:tcBorders>
              <w:left w:val="none" w:sz="0" w:space="0" w:color="auto"/>
              <w:right w:val="none" w:sz="0" w:space="0" w:color="auto"/>
            </w:tcBorders>
            <w:shd w:val="clear" w:color="auto" w:fill="FFFFFF" w:themeFill="background1"/>
            <w:vAlign w:val="center"/>
          </w:tcPr>
          <w:p w14:paraId="476FE6F5"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r w:rsidRPr="00582936">
              <w:rPr>
                <w:rFonts w:ascii="Century Gothic" w:eastAsia="Times New Roman" w:hAnsi="Century Gothic" w:cs="Times New Roman"/>
                <w:b w:val="0"/>
                <w:bCs w:val="0"/>
                <w:color w:val="6E6E7C"/>
                <w:sz w:val="16"/>
                <w:szCs w:val="16"/>
                <w:lang w:eastAsia="es-EC"/>
              </w:rPr>
              <w:lastRenderedPageBreak/>
              <w:t>v2003</w:t>
            </w:r>
          </w:p>
        </w:tc>
        <w:tc>
          <w:tcPr>
            <w:tcW w:w="2518" w:type="dxa"/>
            <w:tcBorders>
              <w:left w:val="none" w:sz="0" w:space="0" w:color="auto"/>
              <w:right w:val="none" w:sz="0" w:space="0" w:color="auto"/>
            </w:tcBorders>
            <w:shd w:val="clear" w:color="auto" w:fill="FFFFFF" w:themeFill="background1"/>
            <w:noWrap/>
            <w:vAlign w:val="center"/>
          </w:tcPr>
          <w:p w14:paraId="2AFC2942"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Ventas netas de bienes comercializados por la empresa al por menor</w:t>
            </w:r>
          </w:p>
        </w:tc>
        <w:tc>
          <w:tcPr>
            <w:tcW w:w="3469" w:type="dxa"/>
            <w:tcBorders>
              <w:left w:val="none" w:sz="0" w:space="0" w:color="auto"/>
              <w:right w:val="none" w:sz="0" w:space="0" w:color="auto"/>
            </w:tcBorders>
            <w:shd w:val="clear" w:color="auto" w:fill="FFFFFF" w:themeFill="background1"/>
            <w:vAlign w:val="center"/>
          </w:tcPr>
          <w:p w14:paraId="26C7A42B"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Venta de los artículos que se vendieron al por menor, en el mismo estado en el que se adquirió o compró el bien.</w:t>
            </w:r>
          </w:p>
        </w:tc>
        <w:tc>
          <w:tcPr>
            <w:tcW w:w="1270" w:type="dxa"/>
            <w:tcBorders>
              <w:left w:val="none" w:sz="0" w:space="0" w:color="auto"/>
              <w:right w:val="none" w:sz="0" w:space="0" w:color="auto"/>
            </w:tcBorders>
            <w:shd w:val="clear" w:color="auto" w:fill="FFFFFF" w:themeFill="background1"/>
            <w:vAlign w:val="center"/>
          </w:tcPr>
          <w:p w14:paraId="53F1BB45"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tcBorders>
              <w:left w:val="none" w:sz="0" w:space="0" w:color="auto"/>
              <w:right w:val="none" w:sz="0" w:space="0" w:color="auto"/>
            </w:tcBorders>
            <w:shd w:val="clear" w:color="auto" w:fill="FFFFFF" w:themeFill="background1"/>
            <w:noWrap/>
            <w:vAlign w:val="center"/>
          </w:tcPr>
          <w:p w14:paraId="7BAA2200"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67D97380" w14:textId="77777777" w:rsidTr="00BA7D1F">
        <w:trPr>
          <w:trHeight w:val="606"/>
          <w:jc w:val="center"/>
        </w:trPr>
        <w:tc>
          <w:tcPr>
            <w:cnfStyle w:val="001000000000" w:firstRow="0" w:lastRow="0" w:firstColumn="1" w:lastColumn="0" w:oddVBand="0" w:evenVBand="0" w:oddHBand="0" w:evenHBand="0" w:firstRowFirstColumn="0" w:firstRowLastColumn="0" w:lastRowFirstColumn="0" w:lastRowLastColumn="0"/>
            <w:tcW w:w="1253" w:type="dxa"/>
            <w:shd w:val="clear" w:color="auto" w:fill="FFFFFF" w:themeFill="background1"/>
            <w:vAlign w:val="center"/>
          </w:tcPr>
          <w:p w14:paraId="6DC1771E"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r w:rsidRPr="00582936">
              <w:rPr>
                <w:rFonts w:ascii="Century Gothic" w:eastAsia="Times New Roman" w:hAnsi="Century Gothic" w:cs="Times New Roman"/>
                <w:b w:val="0"/>
                <w:bCs w:val="0"/>
                <w:color w:val="6E6E7C"/>
                <w:sz w:val="16"/>
                <w:szCs w:val="16"/>
                <w:lang w:eastAsia="es-EC"/>
              </w:rPr>
              <w:t>v2004</w:t>
            </w:r>
          </w:p>
        </w:tc>
        <w:tc>
          <w:tcPr>
            <w:tcW w:w="2518" w:type="dxa"/>
            <w:shd w:val="clear" w:color="auto" w:fill="FFFFFF" w:themeFill="background1"/>
            <w:noWrap/>
            <w:vAlign w:val="center"/>
          </w:tcPr>
          <w:p w14:paraId="3203A08D"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Ventas netas de servicios</w:t>
            </w:r>
          </w:p>
        </w:tc>
        <w:tc>
          <w:tcPr>
            <w:tcW w:w="3469" w:type="dxa"/>
            <w:shd w:val="clear" w:color="auto" w:fill="FFFFFF" w:themeFill="background1"/>
            <w:vAlign w:val="center"/>
          </w:tcPr>
          <w:p w14:paraId="5033155E"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Son los ingresos recibidos por la empresa, por servicios prestados a terceros.</w:t>
            </w:r>
          </w:p>
        </w:tc>
        <w:tc>
          <w:tcPr>
            <w:tcW w:w="1270" w:type="dxa"/>
            <w:shd w:val="clear" w:color="auto" w:fill="FFFFFF" w:themeFill="background1"/>
            <w:vAlign w:val="center"/>
          </w:tcPr>
          <w:p w14:paraId="52C79050"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shd w:val="clear" w:color="auto" w:fill="FFFFFF" w:themeFill="background1"/>
            <w:noWrap/>
            <w:vAlign w:val="center"/>
          </w:tcPr>
          <w:p w14:paraId="4CF82CBF"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0F93575D" w14:textId="77777777" w:rsidTr="00BA7D1F">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1253" w:type="dxa"/>
            <w:tcBorders>
              <w:left w:val="none" w:sz="0" w:space="0" w:color="auto"/>
              <w:right w:val="none" w:sz="0" w:space="0" w:color="auto"/>
            </w:tcBorders>
            <w:shd w:val="clear" w:color="auto" w:fill="FFFFFF" w:themeFill="background1"/>
            <w:vAlign w:val="center"/>
          </w:tcPr>
          <w:p w14:paraId="1C30E6B8"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r w:rsidRPr="00582936">
              <w:rPr>
                <w:rFonts w:ascii="Century Gothic" w:eastAsia="Times New Roman" w:hAnsi="Century Gothic" w:cs="Times New Roman"/>
                <w:b w:val="0"/>
                <w:bCs w:val="0"/>
                <w:color w:val="6E6E7C"/>
                <w:sz w:val="16"/>
                <w:szCs w:val="16"/>
                <w:lang w:eastAsia="es-EC"/>
              </w:rPr>
              <w:t>v1049</w:t>
            </w:r>
          </w:p>
        </w:tc>
        <w:tc>
          <w:tcPr>
            <w:tcW w:w="2518" w:type="dxa"/>
            <w:tcBorders>
              <w:left w:val="none" w:sz="0" w:space="0" w:color="auto"/>
              <w:right w:val="none" w:sz="0" w:space="0" w:color="auto"/>
            </w:tcBorders>
            <w:shd w:val="clear" w:color="auto" w:fill="FFFFFF" w:themeFill="background1"/>
            <w:noWrap/>
            <w:vAlign w:val="center"/>
          </w:tcPr>
          <w:p w14:paraId="1B0FE5EE"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Total del Costo de Compras netas locales de bienes no producidos por el sujeto pasivo</w:t>
            </w:r>
          </w:p>
        </w:tc>
        <w:tc>
          <w:tcPr>
            <w:tcW w:w="3469" w:type="dxa"/>
            <w:tcBorders>
              <w:left w:val="none" w:sz="0" w:space="0" w:color="auto"/>
              <w:right w:val="none" w:sz="0" w:space="0" w:color="auto"/>
            </w:tcBorders>
            <w:shd w:val="clear" w:color="auto" w:fill="FFFFFF" w:themeFill="background1"/>
            <w:vAlign w:val="center"/>
          </w:tcPr>
          <w:p w14:paraId="4BF4A112"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 xml:space="preserve">Corresponde al valor total del costo de las mercaderías adquiridas por la empresa, para el ejercicio de sus actividades. </w:t>
            </w:r>
          </w:p>
        </w:tc>
        <w:tc>
          <w:tcPr>
            <w:tcW w:w="1270" w:type="dxa"/>
            <w:tcBorders>
              <w:left w:val="none" w:sz="0" w:space="0" w:color="auto"/>
              <w:right w:val="none" w:sz="0" w:space="0" w:color="auto"/>
            </w:tcBorders>
            <w:shd w:val="clear" w:color="auto" w:fill="FFFFFF" w:themeFill="background1"/>
            <w:vAlign w:val="center"/>
          </w:tcPr>
          <w:p w14:paraId="02D3FF91"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tcBorders>
              <w:left w:val="none" w:sz="0" w:space="0" w:color="auto"/>
              <w:right w:val="none" w:sz="0" w:space="0" w:color="auto"/>
            </w:tcBorders>
            <w:shd w:val="clear" w:color="auto" w:fill="FFFFFF" w:themeFill="background1"/>
            <w:noWrap/>
            <w:vAlign w:val="center"/>
          </w:tcPr>
          <w:p w14:paraId="1A0010DB"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7A202730" w14:textId="77777777" w:rsidTr="00BA7D1F">
        <w:trPr>
          <w:trHeight w:val="708"/>
          <w:jc w:val="center"/>
        </w:trPr>
        <w:tc>
          <w:tcPr>
            <w:cnfStyle w:val="001000000000" w:firstRow="0" w:lastRow="0" w:firstColumn="1" w:lastColumn="0" w:oddVBand="0" w:evenVBand="0" w:oddHBand="0" w:evenHBand="0" w:firstRowFirstColumn="0" w:firstRowLastColumn="0" w:lastRowFirstColumn="0" w:lastRowLastColumn="0"/>
            <w:tcW w:w="1253" w:type="dxa"/>
            <w:shd w:val="clear" w:color="auto" w:fill="FFFFFF" w:themeFill="background1"/>
            <w:vAlign w:val="center"/>
          </w:tcPr>
          <w:p w14:paraId="228B3EF0"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r w:rsidRPr="00582936">
              <w:rPr>
                <w:rFonts w:ascii="Century Gothic" w:eastAsia="Times New Roman" w:hAnsi="Century Gothic" w:cs="Times New Roman"/>
                <w:b w:val="0"/>
                <w:bCs w:val="0"/>
                <w:color w:val="6E6E7C"/>
                <w:sz w:val="16"/>
                <w:szCs w:val="16"/>
                <w:lang w:eastAsia="es-EC"/>
              </w:rPr>
              <w:t>v1012</w:t>
            </w:r>
          </w:p>
        </w:tc>
        <w:tc>
          <w:tcPr>
            <w:tcW w:w="2518" w:type="dxa"/>
            <w:shd w:val="clear" w:color="auto" w:fill="FFFFFF" w:themeFill="background1"/>
            <w:noWrap/>
            <w:vAlign w:val="center"/>
          </w:tcPr>
          <w:p w14:paraId="52FA40D9"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Otros ingresos</w:t>
            </w:r>
          </w:p>
        </w:tc>
        <w:tc>
          <w:tcPr>
            <w:tcW w:w="3469" w:type="dxa"/>
            <w:shd w:val="clear" w:color="auto" w:fill="FFFFFF" w:themeFill="background1"/>
            <w:vAlign w:val="center"/>
          </w:tcPr>
          <w:p w14:paraId="65969F7E"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Comprende los ingresos que no son del curso ordinario de las actividades de la empresa.</w:t>
            </w:r>
          </w:p>
        </w:tc>
        <w:tc>
          <w:tcPr>
            <w:tcW w:w="1270" w:type="dxa"/>
            <w:shd w:val="clear" w:color="auto" w:fill="FFFFFF" w:themeFill="background1"/>
            <w:vAlign w:val="center"/>
          </w:tcPr>
          <w:p w14:paraId="5E719CBB"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shd w:val="clear" w:color="auto" w:fill="FFFFFF" w:themeFill="background1"/>
            <w:noWrap/>
            <w:vAlign w:val="center"/>
          </w:tcPr>
          <w:p w14:paraId="4796AAB8"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6CF766A0" w14:textId="77777777" w:rsidTr="00BA7D1F">
        <w:trPr>
          <w:cnfStyle w:val="000000100000" w:firstRow="0" w:lastRow="0" w:firstColumn="0" w:lastColumn="0" w:oddVBand="0" w:evenVBand="0" w:oddHBand="1" w:evenHBand="0" w:firstRowFirstColumn="0" w:firstRowLastColumn="0" w:lastRowFirstColumn="0" w:lastRowLastColumn="0"/>
          <w:trHeight w:val="708"/>
          <w:jc w:val="center"/>
        </w:trPr>
        <w:tc>
          <w:tcPr>
            <w:cnfStyle w:val="001000000000" w:firstRow="0" w:lastRow="0" w:firstColumn="1" w:lastColumn="0" w:oddVBand="0" w:evenVBand="0" w:oddHBand="0" w:evenHBand="0" w:firstRowFirstColumn="0" w:firstRowLastColumn="0" w:lastRowFirstColumn="0" w:lastRowLastColumn="0"/>
            <w:tcW w:w="1253" w:type="dxa"/>
            <w:tcBorders>
              <w:left w:val="none" w:sz="0" w:space="0" w:color="auto"/>
              <w:right w:val="none" w:sz="0" w:space="0" w:color="auto"/>
            </w:tcBorders>
            <w:shd w:val="clear" w:color="auto" w:fill="FFFFFF" w:themeFill="background1"/>
            <w:vAlign w:val="center"/>
          </w:tcPr>
          <w:p w14:paraId="3E8C4E2E"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proofErr w:type="spellStart"/>
            <w:r w:rsidRPr="00582936">
              <w:rPr>
                <w:rFonts w:ascii="Century Gothic" w:eastAsia="Times New Roman" w:hAnsi="Century Gothic" w:cs="Times New Roman"/>
                <w:b w:val="0"/>
                <w:bCs w:val="0"/>
                <w:color w:val="6E6E7C"/>
                <w:sz w:val="16"/>
                <w:szCs w:val="16"/>
                <w:lang w:eastAsia="es-EC"/>
              </w:rPr>
              <w:t>Varexisbt</w:t>
            </w:r>
            <w:proofErr w:type="spellEnd"/>
          </w:p>
        </w:tc>
        <w:tc>
          <w:tcPr>
            <w:tcW w:w="2518" w:type="dxa"/>
            <w:tcBorders>
              <w:left w:val="none" w:sz="0" w:space="0" w:color="auto"/>
              <w:right w:val="none" w:sz="0" w:space="0" w:color="auto"/>
            </w:tcBorders>
            <w:shd w:val="clear" w:color="auto" w:fill="FFFFFF" w:themeFill="background1"/>
            <w:noWrap/>
            <w:vAlign w:val="center"/>
          </w:tcPr>
          <w:p w14:paraId="27A00A5D"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Variación de existencias de artículos producidos para la venta</w:t>
            </w:r>
          </w:p>
        </w:tc>
        <w:tc>
          <w:tcPr>
            <w:tcW w:w="3469" w:type="dxa"/>
            <w:tcBorders>
              <w:left w:val="none" w:sz="0" w:space="0" w:color="auto"/>
              <w:right w:val="none" w:sz="0" w:space="0" w:color="auto"/>
            </w:tcBorders>
            <w:shd w:val="clear" w:color="auto" w:fill="FFFFFF" w:themeFill="background1"/>
            <w:vAlign w:val="center"/>
          </w:tcPr>
          <w:p w14:paraId="41BA487C"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Son las variaciones de los productos elaborados por la empresa, existentes en el periodo fiscal investigado.</w:t>
            </w:r>
          </w:p>
        </w:tc>
        <w:tc>
          <w:tcPr>
            <w:tcW w:w="1270" w:type="dxa"/>
            <w:tcBorders>
              <w:left w:val="none" w:sz="0" w:space="0" w:color="auto"/>
              <w:right w:val="none" w:sz="0" w:space="0" w:color="auto"/>
            </w:tcBorders>
            <w:shd w:val="clear" w:color="auto" w:fill="FFFFFF" w:themeFill="background1"/>
            <w:vAlign w:val="center"/>
          </w:tcPr>
          <w:p w14:paraId="227B8774"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tcBorders>
              <w:left w:val="none" w:sz="0" w:space="0" w:color="auto"/>
              <w:right w:val="none" w:sz="0" w:space="0" w:color="auto"/>
            </w:tcBorders>
            <w:shd w:val="clear" w:color="auto" w:fill="FFFFFF" w:themeFill="background1"/>
            <w:noWrap/>
            <w:vAlign w:val="center"/>
          </w:tcPr>
          <w:p w14:paraId="78082EC6"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0B45611D" w14:textId="77777777" w:rsidTr="00BA7D1F">
        <w:trPr>
          <w:trHeight w:val="708"/>
          <w:jc w:val="center"/>
        </w:trPr>
        <w:tc>
          <w:tcPr>
            <w:cnfStyle w:val="001000000000" w:firstRow="0" w:lastRow="0" w:firstColumn="1" w:lastColumn="0" w:oddVBand="0" w:evenVBand="0" w:oddHBand="0" w:evenHBand="0" w:firstRowFirstColumn="0" w:firstRowLastColumn="0" w:lastRowFirstColumn="0" w:lastRowLastColumn="0"/>
            <w:tcW w:w="1253" w:type="dxa"/>
            <w:shd w:val="clear" w:color="auto" w:fill="FFFFFF" w:themeFill="background1"/>
            <w:vAlign w:val="center"/>
          </w:tcPr>
          <w:p w14:paraId="6A28FC56"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proofErr w:type="spellStart"/>
            <w:r w:rsidRPr="00582936">
              <w:rPr>
                <w:rFonts w:ascii="Century Gothic" w:eastAsia="Times New Roman" w:hAnsi="Century Gothic" w:cs="Times New Roman"/>
                <w:b w:val="0"/>
                <w:bCs w:val="0"/>
                <w:color w:val="6E6E7C"/>
                <w:sz w:val="16"/>
                <w:szCs w:val="16"/>
                <w:lang w:eastAsia="es-EC"/>
              </w:rPr>
              <w:t>Varexism</w:t>
            </w:r>
            <w:proofErr w:type="spellEnd"/>
          </w:p>
        </w:tc>
        <w:tc>
          <w:tcPr>
            <w:tcW w:w="2518" w:type="dxa"/>
            <w:shd w:val="clear" w:color="auto" w:fill="FFFFFF" w:themeFill="background1"/>
            <w:noWrap/>
            <w:vAlign w:val="center"/>
          </w:tcPr>
          <w:p w14:paraId="416564F4"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Variación de existencias de artículos para la venta sin transformación (Mercaderías)</w:t>
            </w:r>
          </w:p>
        </w:tc>
        <w:tc>
          <w:tcPr>
            <w:tcW w:w="3469" w:type="dxa"/>
            <w:shd w:val="clear" w:color="auto" w:fill="FFFFFF" w:themeFill="background1"/>
            <w:vAlign w:val="center"/>
          </w:tcPr>
          <w:p w14:paraId="69DECC30"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Son las variaciones de las mercaderías existentes en el periodo fiscal investigado.</w:t>
            </w:r>
          </w:p>
        </w:tc>
        <w:tc>
          <w:tcPr>
            <w:tcW w:w="1270" w:type="dxa"/>
            <w:shd w:val="clear" w:color="auto" w:fill="FFFFFF" w:themeFill="background1"/>
            <w:vAlign w:val="center"/>
          </w:tcPr>
          <w:p w14:paraId="234C4EB1"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shd w:val="clear" w:color="auto" w:fill="FFFFFF" w:themeFill="background1"/>
            <w:noWrap/>
            <w:vAlign w:val="center"/>
          </w:tcPr>
          <w:p w14:paraId="41739C71"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34EED9F0" w14:textId="77777777" w:rsidTr="00BA7D1F">
        <w:trPr>
          <w:cnfStyle w:val="000000100000" w:firstRow="0" w:lastRow="0" w:firstColumn="0" w:lastColumn="0" w:oddVBand="0" w:evenVBand="0" w:oddHBand="1" w:evenHBand="0" w:firstRowFirstColumn="0" w:firstRowLastColumn="0" w:lastRowFirstColumn="0" w:lastRowLastColumn="0"/>
          <w:trHeight w:val="355"/>
          <w:jc w:val="center"/>
        </w:trPr>
        <w:tc>
          <w:tcPr>
            <w:cnfStyle w:val="001000000000" w:firstRow="0" w:lastRow="0" w:firstColumn="1" w:lastColumn="0" w:oddVBand="0" w:evenVBand="0" w:oddHBand="0" w:evenHBand="0" w:firstRowFirstColumn="0" w:firstRowLastColumn="0" w:lastRowFirstColumn="0" w:lastRowLastColumn="0"/>
            <w:tcW w:w="1253" w:type="dxa"/>
            <w:tcBorders>
              <w:left w:val="none" w:sz="0" w:space="0" w:color="auto"/>
              <w:right w:val="none" w:sz="0" w:space="0" w:color="auto"/>
            </w:tcBorders>
            <w:shd w:val="clear" w:color="auto" w:fill="FFFFFF" w:themeFill="background1"/>
            <w:vAlign w:val="center"/>
          </w:tcPr>
          <w:p w14:paraId="7FAB42A3"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proofErr w:type="spellStart"/>
            <w:r w:rsidRPr="00582936">
              <w:rPr>
                <w:rFonts w:ascii="Century Gothic" w:eastAsia="Times New Roman" w:hAnsi="Century Gothic" w:cs="Times New Roman"/>
                <w:b w:val="0"/>
                <w:bCs w:val="0"/>
                <w:color w:val="6E6E7C"/>
                <w:sz w:val="16"/>
                <w:szCs w:val="16"/>
                <w:lang w:eastAsia="es-EC"/>
              </w:rPr>
              <w:t>Totinsum</w:t>
            </w:r>
            <w:proofErr w:type="spellEnd"/>
          </w:p>
        </w:tc>
        <w:tc>
          <w:tcPr>
            <w:tcW w:w="2518" w:type="dxa"/>
            <w:tcBorders>
              <w:left w:val="none" w:sz="0" w:space="0" w:color="auto"/>
              <w:right w:val="none" w:sz="0" w:space="0" w:color="auto"/>
            </w:tcBorders>
            <w:shd w:val="clear" w:color="auto" w:fill="FFFFFF" w:themeFill="background1"/>
            <w:noWrap/>
            <w:vAlign w:val="center"/>
          </w:tcPr>
          <w:p w14:paraId="682874C1"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Total insumos</w:t>
            </w:r>
          </w:p>
        </w:tc>
        <w:tc>
          <w:tcPr>
            <w:tcW w:w="3469" w:type="dxa"/>
            <w:tcBorders>
              <w:left w:val="none" w:sz="0" w:space="0" w:color="auto"/>
              <w:right w:val="none" w:sz="0" w:space="0" w:color="auto"/>
            </w:tcBorders>
            <w:shd w:val="clear" w:color="auto" w:fill="FFFFFF" w:themeFill="background1"/>
            <w:vAlign w:val="center"/>
          </w:tcPr>
          <w:p w14:paraId="7313EE98"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Son todos los bienes físicos no duraderos, que la empresa ha utilizado para la elaboración de artículos producidos o para la ejecución de servicios que presta.</w:t>
            </w:r>
          </w:p>
        </w:tc>
        <w:tc>
          <w:tcPr>
            <w:tcW w:w="1270" w:type="dxa"/>
            <w:tcBorders>
              <w:left w:val="none" w:sz="0" w:space="0" w:color="auto"/>
              <w:right w:val="none" w:sz="0" w:space="0" w:color="auto"/>
            </w:tcBorders>
            <w:shd w:val="clear" w:color="auto" w:fill="FFFFFF" w:themeFill="background1"/>
            <w:vAlign w:val="center"/>
          </w:tcPr>
          <w:p w14:paraId="5EB53F4B"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tcBorders>
              <w:left w:val="none" w:sz="0" w:space="0" w:color="auto"/>
              <w:right w:val="none" w:sz="0" w:space="0" w:color="auto"/>
            </w:tcBorders>
            <w:shd w:val="clear" w:color="auto" w:fill="FFFFFF" w:themeFill="background1"/>
            <w:noWrap/>
            <w:vAlign w:val="center"/>
          </w:tcPr>
          <w:p w14:paraId="6A4A06AC"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3977F64B" w14:textId="77777777" w:rsidTr="00BA7D1F">
        <w:trPr>
          <w:trHeight w:val="708"/>
          <w:jc w:val="center"/>
        </w:trPr>
        <w:tc>
          <w:tcPr>
            <w:cnfStyle w:val="001000000000" w:firstRow="0" w:lastRow="0" w:firstColumn="1" w:lastColumn="0" w:oddVBand="0" w:evenVBand="0" w:oddHBand="0" w:evenHBand="0" w:firstRowFirstColumn="0" w:firstRowLastColumn="0" w:lastRowFirstColumn="0" w:lastRowLastColumn="0"/>
            <w:tcW w:w="1253" w:type="dxa"/>
            <w:shd w:val="clear" w:color="auto" w:fill="FFFFFF" w:themeFill="background1"/>
            <w:vAlign w:val="center"/>
          </w:tcPr>
          <w:p w14:paraId="4A2BA3C7"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proofErr w:type="spellStart"/>
            <w:r w:rsidRPr="00582936">
              <w:rPr>
                <w:rFonts w:ascii="Century Gothic" w:eastAsia="Times New Roman" w:hAnsi="Century Gothic" w:cs="Times New Roman"/>
                <w:b w:val="0"/>
                <w:bCs w:val="0"/>
                <w:color w:val="6E6E7C"/>
                <w:sz w:val="16"/>
                <w:szCs w:val="16"/>
                <w:lang w:eastAsia="es-EC"/>
              </w:rPr>
              <w:t>Gasopera</w:t>
            </w:r>
            <w:proofErr w:type="spellEnd"/>
          </w:p>
        </w:tc>
        <w:tc>
          <w:tcPr>
            <w:tcW w:w="2518" w:type="dxa"/>
            <w:shd w:val="clear" w:color="auto" w:fill="FFFFFF" w:themeFill="background1"/>
            <w:noWrap/>
            <w:vAlign w:val="center"/>
          </w:tcPr>
          <w:p w14:paraId="0736F019"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Gastos operacionales</w:t>
            </w:r>
          </w:p>
        </w:tc>
        <w:tc>
          <w:tcPr>
            <w:tcW w:w="3469" w:type="dxa"/>
            <w:shd w:val="clear" w:color="auto" w:fill="FFFFFF" w:themeFill="background1"/>
            <w:vAlign w:val="center"/>
          </w:tcPr>
          <w:p w14:paraId="61A5AAA6"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Son aquellos desembolsos realizados por la empresa en la obtención de servicios y materiales de oficina, para la operación de la empresa.</w:t>
            </w:r>
          </w:p>
        </w:tc>
        <w:tc>
          <w:tcPr>
            <w:tcW w:w="1270" w:type="dxa"/>
            <w:shd w:val="clear" w:color="auto" w:fill="FFFFFF" w:themeFill="background1"/>
            <w:vAlign w:val="center"/>
          </w:tcPr>
          <w:p w14:paraId="2B908BA8"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shd w:val="clear" w:color="auto" w:fill="FFFFFF" w:themeFill="background1"/>
            <w:noWrap/>
            <w:vAlign w:val="center"/>
          </w:tcPr>
          <w:p w14:paraId="634A6E57"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13A2DFD9" w14:textId="77777777" w:rsidTr="00BA7D1F">
        <w:trPr>
          <w:cnfStyle w:val="000000100000" w:firstRow="0" w:lastRow="0" w:firstColumn="0" w:lastColumn="0" w:oddVBand="0" w:evenVBand="0" w:oddHBand="1" w:evenHBand="0" w:firstRowFirstColumn="0" w:firstRowLastColumn="0" w:lastRowFirstColumn="0" w:lastRowLastColumn="0"/>
          <w:trHeight w:val="708"/>
          <w:jc w:val="center"/>
        </w:trPr>
        <w:tc>
          <w:tcPr>
            <w:cnfStyle w:val="001000000000" w:firstRow="0" w:lastRow="0" w:firstColumn="1" w:lastColumn="0" w:oddVBand="0" w:evenVBand="0" w:oddHBand="0" w:evenHBand="0" w:firstRowFirstColumn="0" w:firstRowLastColumn="0" w:lastRowFirstColumn="0" w:lastRowLastColumn="0"/>
            <w:tcW w:w="1253" w:type="dxa"/>
            <w:tcBorders>
              <w:left w:val="none" w:sz="0" w:space="0" w:color="auto"/>
              <w:right w:val="none" w:sz="0" w:space="0" w:color="auto"/>
            </w:tcBorders>
            <w:shd w:val="clear" w:color="auto" w:fill="FFFFFF" w:themeFill="background1"/>
            <w:vAlign w:val="center"/>
          </w:tcPr>
          <w:p w14:paraId="4A306A4C"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proofErr w:type="spellStart"/>
            <w:r w:rsidRPr="00582936">
              <w:rPr>
                <w:rFonts w:ascii="Century Gothic" w:eastAsia="Times New Roman" w:hAnsi="Century Gothic" w:cs="Times New Roman"/>
                <w:b w:val="0"/>
                <w:bCs w:val="0"/>
                <w:color w:val="6E6E7C"/>
                <w:sz w:val="16"/>
                <w:szCs w:val="16"/>
                <w:lang w:eastAsia="es-EC"/>
              </w:rPr>
              <w:t>Otrgasop</w:t>
            </w:r>
            <w:proofErr w:type="spellEnd"/>
          </w:p>
        </w:tc>
        <w:tc>
          <w:tcPr>
            <w:tcW w:w="2518" w:type="dxa"/>
            <w:tcBorders>
              <w:left w:val="none" w:sz="0" w:space="0" w:color="auto"/>
              <w:right w:val="none" w:sz="0" w:space="0" w:color="auto"/>
            </w:tcBorders>
            <w:shd w:val="clear" w:color="auto" w:fill="FFFFFF" w:themeFill="background1"/>
            <w:noWrap/>
            <w:vAlign w:val="center"/>
          </w:tcPr>
          <w:p w14:paraId="3E6AB14A"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Otros gastos operacionales</w:t>
            </w:r>
          </w:p>
        </w:tc>
        <w:tc>
          <w:tcPr>
            <w:tcW w:w="3469" w:type="dxa"/>
            <w:tcBorders>
              <w:left w:val="none" w:sz="0" w:space="0" w:color="auto"/>
              <w:right w:val="none" w:sz="0" w:space="0" w:color="auto"/>
            </w:tcBorders>
            <w:shd w:val="clear" w:color="auto" w:fill="FFFFFF" w:themeFill="background1"/>
            <w:vAlign w:val="center"/>
          </w:tcPr>
          <w:p w14:paraId="1E2028E5" w14:textId="77777777" w:rsidR="002B0BB0" w:rsidRPr="00582936" w:rsidRDefault="002B0BB0" w:rsidP="000F7A8B">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Son aquellos gastos que siendo de operación, no corresponden a las categorías considerada en las variables de gastos operacionales.</w:t>
            </w:r>
          </w:p>
        </w:tc>
        <w:tc>
          <w:tcPr>
            <w:tcW w:w="1270" w:type="dxa"/>
            <w:tcBorders>
              <w:left w:val="none" w:sz="0" w:space="0" w:color="auto"/>
              <w:right w:val="none" w:sz="0" w:space="0" w:color="auto"/>
            </w:tcBorders>
            <w:shd w:val="clear" w:color="auto" w:fill="FFFFFF" w:themeFill="background1"/>
            <w:vAlign w:val="center"/>
          </w:tcPr>
          <w:p w14:paraId="52CD97D5"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tcBorders>
              <w:left w:val="none" w:sz="0" w:space="0" w:color="auto"/>
              <w:right w:val="none" w:sz="0" w:space="0" w:color="auto"/>
            </w:tcBorders>
            <w:shd w:val="clear" w:color="auto" w:fill="FFFFFF" w:themeFill="background1"/>
            <w:noWrap/>
            <w:vAlign w:val="center"/>
          </w:tcPr>
          <w:p w14:paraId="34469A86" w14:textId="77777777" w:rsidR="002B0BB0" w:rsidRPr="00582936" w:rsidRDefault="002B0BB0" w:rsidP="000F7A8B">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r w:rsidR="002B0BB0" w:rsidRPr="00582936" w14:paraId="3A8543D8" w14:textId="77777777" w:rsidTr="00BA7D1F">
        <w:trPr>
          <w:trHeight w:val="708"/>
          <w:jc w:val="center"/>
        </w:trPr>
        <w:tc>
          <w:tcPr>
            <w:cnfStyle w:val="001000000000" w:firstRow="0" w:lastRow="0" w:firstColumn="1" w:lastColumn="0" w:oddVBand="0" w:evenVBand="0" w:oddHBand="0" w:evenHBand="0" w:firstRowFirstColumn="0" w:firstRowLastColumn="0" w:lastRowFirstColumn="0" w:lastRowLastColumn="0"/>
            <w:tcW w:w="1253" w:type="dxa"/>
            <w:shd w:val="clear" w:color="auto" w:fill="FFFFFF" w:themeFill="background1"/>
            <w:vAlign w:val="center"/>
          </w:tcPr>
          <w:p w14:paraId="6A724126" w14:textId="77777777" w:rsidR="002B0BB0" w:rsidRPr="00582936" w:rsidRDefault="002B0BB0" w:rsidP="000F7A8B">
            <w:pPr>
              <w:rPr>
                <w:rFonts w:ascii="Century Gothic" w:eastAsia="Times New Roman" w:hAnsi="Century Gothic" w:cs="Times New Roman"/>
                <w:b w:val="0"/>
                <w:bCs w:val="0"/>
                <w:color w:val="6E6E7C"/>
                <w:sz w:val="16"/>
                <w:szCs w:val="16"/>
                <w:lang w:eastAsia="es-EC"/>
              </w:rPr>
            </w:pPr>
            <w:r w:rsidRPr="00582936">
              <w:rPr>
                <w:rFonts w:ascii="Century Gothic" w:eastAsia="Times New Roman" w:hAnsi="Century Gothic" w:cs="Times New Roman"/>
                <w:b w:val="0"/>
                <w:bCs w:val="0"/>
                <w:color w:val="6E6E7C"/>
                <w:sz w:val="16"/>
                <w:szCs w:val="16"/>
                <w:lang w:eastAsia="es-EC"/>
              </w:rPr>
              <w:t>v5090</w:t>
            </w:r>
          </w:p>
        </w:tc>
        <w:tc>
          <w:tcPr>
            <w:tcW w:w="2518" w:type="dxa"/>
            <w:shd w:val="clear" w:color="auto" w:fill="FFFFFF" w:themeFill="background1"/>
            <w:noWrap/>
            <w:vAlign w:val="center"/>
          </w:tcPr>
          <w:p w14:paraId="3C3A4D49"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Total personal ocupado</w:t>
            </w:r>
          </w:p>
        </w:tc>
        <w:tc>
          <w:tcPr>
            <w:tcW w:w="3469" w:type="dxa"/>
            <w:shd w:val="clear" w:color="auto" w:fill="FFFFFF" w:themeFill="background1"/>
            <w:vAlign w:val="center"/>
          </w:tcPr>
          <w:p w14:paraId="23B3B460" w14:textId="77777777" w:rsidR="002B0BB0" w:rsidRPr="00582936" w:rsidRDefault="002B0BB0" w:rsidP="000F7A8B">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Corresponde a la suma total del personal que realiza actividades dentro de la empresa, y se encuentra bajo relación de dependencia.</w:t>
            </w:r>
          </w:p>
        </w:tc>
        <w:tc>
          <w:tcPr>
            <w:tcW w:w="1270" w:type="dxa"/>
            <w:shd w:val="clear" w:color="auto" w:fill="FFFFFF" w:themeFill="background1"/>
            <w:vAlign w:val="center"/>
          </w:tcPr>
          <w:p w14:paraId="401B8BF6"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Numérico</w:t>
            </w:r>
          </w:p>
        </w:tc>
        <w:tc>
          <w:tcPr>
            <w:tcW w:w="1500" w:type="dxa"/>
            <w:shd w:val="clear" w:color="auto" w:fill="FFFFFF" w:themeFill="background1"/>
            <w:noWrap/>
            <w:vAlign w:val="center"/>
          </w:tcPr>
          <w:p w14:paraId="7BD521F9" w14:textId="77777777" w:rsidR="002B0BB0" w:rsidRPr="00582936" w:rsidRDefault="002B0BB0" w:rsidP="000F7A8B">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Cs/>
                <w:color w:val="6E6E7C"/>
                <w:sz w:val="16"/>
                <w:szCs w:val="16"/>
                <w:lang w:eastAsia="es-EC"/>
              </w:rPr>
            </w:pPr>
            <w:r w:rsidRPr="00582936">
              <w:rPr>
                <w:rFonts w:ascii="Century Gothic" w:eastAsia="Times New Roman" w:hAnsi="Century Gothic" w:cs="Times New Roman"/>
                <w:bCs/>
                <w:color w:val="6E6E7C"/>
                <w:sz w:val="16"/>
                <w:szCs w:val="16"/>
                <w:lang w:eastAsia="es-EC"/>
              </w:rPr>
              <w:t>_</w:t>
            </w:r>
          </w:p>
        </w:tc>
      </w:tr>
    </w:tbl>
    <w:p w14:paraId="25888F03" w14:textId="77777777" w:rsidR="002B0BB0" w:rsidRPr="00582936" w:rsidRDefault="002B0BB0" w:rsidP="00544509">
      <w:pPr>
        <w:rPr>
          <w:rFonts w:ascii="Century Gothic" w:eastAsia="Calibri" w:hAnsi="Century Gothic" w:cs="Times New Roman"/>
          <w:iCs/>
          <w:color w:val="6E6E7C"/>
          <w:sz w:val="16"/>
          <w:szCs w:val="16"/>
        </w:rPr>
      </w:pPr>
      <w:r w:rsidRPr="00582936">
        <w:rPr>
          <w:rFonts w:ascii="Century Gothic" w:eastAsia="Calibri" w:hAnsi="Century Gothic" w:cs="Times New Roman"/>
          <w:b/>
          <w:bCs/>
          <w:iCs/>
          <w:color w:val="6E6E7C"/>
          <w:sz w:val="16"/>
          <w:szCs w:val="16"/>
        </w:rPr>
        <w:t xml:space="preserve">Fuente: </w:t>
      </w:r>
      <w:r w:rsidRPr="00582936">
        <w:rPr>
          <w:rFonts w:ascii="Century Gothic" w:eastAsia="Calibri" w:hAnsi="Century Gothic" w:cs="Times New Roman"/>
          <w:bCs/>
          <w:iCs/>
          <w:color w:val="6E6E7C"/>
          <w:sz w:val="16"/>
          <w:szCs w:val="16"/>
        </w:rPr>
        <w:t>INEC</w:t>
      </w:r>
      <w:r w:rsidRPr="00582936">
        <w:rPr>
          <w:rFonts w:ascii="Century Gothic" w:eastAsia="Calibri" w:hAnsi="Century Gothic" w:cs="Times New Roman"/>
          <w:iCs/>
          <w:color w:val="6E6E7C"/>
          <w:sz w:val="16"/>
          <w:szCs w:val="16"/>
        </w:rPr>
        <w:t>, Encuesta Estructural Empresarial (ENESEM 2022).</w:t>
      </w:r>
    </w:p>
    <w:p w14:paraId="02E31BE4" w14:textId="77777777" w:rsidR="00544509" w:rsidRDefault="002B0BB0" w:rsidP="00544509">
      <w:pPr>
        <w:rPr>
          <w:rFonts w:ascii="Century Gothic" w:eastAsia="Calibri" w:hAnsi="Century Gothic" w:cs="Times New Roman"/>
          <w:iCs/>
          <w:color w:val="6E6E7C"/>
          <w:sz w:val="16"/>
          <w:szCs w:val="16"/>
        </w:rPr>
      </w:pPr>
      <w:r w:rsidRPr="00582936">
        <w:rPr>
          <w:rFonts w:ascii="Century Gothic" w:eastAsia="Calibri" w:hAnsi="Century Gothic" w:cs="Times New Roman"/>
          <w:b/>
          <w:bCs/>
          <w:iCs/>
          <w:color w:val="6E6E7C"/>
          <w:sz w:val="16"/>
          <w:szCs w:val="16"/>
        </w:rPr>
        <w:t xml:space="preserve">Elaboración: </w:t>
      </w:r>
      <w:r w:rsidRPr="00582936">
        <w:rPr>
          <w:rFonts w:ascii="Century Gothic" w:eastAsia="Calibri" w:hAnsi="Century Gothic" w:cs="Times New Roman"/>
          <w:iCs/>
          <w:color w:val="6E6E7C"/>
          <w:sz w:val="16"/>
          <w:szCs w:val="16"/>
        </w:rPr>
        <w:t xml:space="preserve">Gestión de Estadísticas Estructurales (GESE). </w:t>
      </w:r>
    </w:p>
    <w:p w14:paraId="5DB1BD56" w14:textId="77777777" w:rsidR="00544509" w:rsidRPr="00544509" w:rsidRDefault="00544509" w:rsidP="00544509">
      <w:pPr>
        <w:rPr>
          <w:rFonts w:ascii="Century Gothic" w:eastAsia="Calibri" w:hAnsi="Century Gothic" w:cs="Times New Roman"/>
          <w:iCs/>
          <w:color w:val="6E6E7C"/>
          <w:sz w:val="16"/>
          <w:szCs w:val="16"/>
        </w:rPr>
      </w:pPr>
      <w:r w:rsidRPr="00544509">
        <w:rPr>
          <w:rFonts w:ascii="Century Gothic" w:eastAsia="Calibri" w:hAnsi="Century Gothic" w:cs="Times New Roman"/>
          <w:b/>
          <w:iCs/>
          <w:color w:val="6E6E7C"/>
          <w:sz w:val="16"/>
          <w:szCs w:val="16"/>
        </w:rPr>
        <w:t>Nota:</w:t>
      </w:r>
      <w:r w:rsidRPr="00544509">
        <w:rPr>
          <w:rFonts w:ascii="Century Gothic" w:eastAsia="Calibri" w:hAnsi="Century Gothic" w:cs="Times New Roman"/>
          <w:iCs/>
          <w:color w:val="6E6E7C"/>
          <w:sz w:val="16"/>
          <w:szCs w:val="16"/>
        </w:rPr>
        <w:t xml:space="preserve"> Para conocer más detalles de las variables publicadas, revisar el apartado de “Documentación relacionada” en lo relacionado al documento de Diccionario de variables.</w:t>
      </w:r>
    </w:p>
    <w:p w14:paraId="06B97F57" w14:textId="77777777" w:rsidR="00544509" w:rsidRDefault="00544509" w:rsidP="002B0BB0">
      <w:pPr>
        <w:spacing w:after="160"/>
        <w:rPr>
          <w:rFonts w:ascii="Century Gothic" w:eastAsia="Calibri" w:hAnsi="Century Gothic" w:cs="Times New Roman"/>
          <w:iCs/>
          <w:color w:val="6E6E7C"/>
          <w:sz w:val="16"/>
          <w:szCs w:val="16"/>
        </w:rPr>
      </w:pPr>
    </w:p>
    <w:p w14:paraId="1556D0B9"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352" w:name="_Toc148617360"/>
      <w:bookmarkStart w:id="353" w:name="_Toc161322578"/>
      <w:bookmarkEnd w:id="340"/>
      <w:r w:rsidRPr="00D27640">
        <w:rPr>
          <w:rFonts w:eastAsiaTheme="minorHAnsi" w:cstheme="minorBidi"/>
          <w:bCs/>
          <w:color w:val="6E6E7C"/>
          <w:sz w:val="28"/>
          <w:szCs w:val="44"/>
        </w:rPr>
        <w:t>Variables y unidades derivadas</w:t>
      </w:r>
      <w:bookmarkEnd w:id="352"/>
      <w:bookmarkEnd w:id="353"/>
      <w:r w:rsidRPr="00D27640">
        <w:rPr>
          <w:rFonts w:eastAsiaTheme="minorHAnsi" w:cstheme="minorBidi"/>
          <w:bCs/>
          <w:color w:val="6E6E7C"/>
          <w:sz w:val="28"/>
          <w:szCs w:val="44"/>
        </w:rPr>
        <w:t xml:space="preserve"> </w:t>
      </w:r>
    </w:p>
    <w:p w14:paraId="3E9211D0" w14:textId="77777777" w:rsidR="002B0BB0" w:rsidRPr="00582936" w:rsidRDefault="002B0BB0" w:rsidP="002B0BB0">
      <w:pPr>
        <w:spacing w:before="240" w:after="200" w:line="276" w:lineRule="auto"/>
        <w:jc w:val="both"/>
        <w:rPr>
          <w:rFonts w:ascii="Century Gothic" w:eastAsia="Calibri" w:hAnsi="Century Gothic" w:cs="Times New Roman"/>
          <w:iCs/>
          <w:color w:val="6E6E7C"/>
          <w:sz w:val="21"/>
          <w:szCs w:val="21"/>
        </w:rPr>
      </w:pPr>
      <w:bookmarkStart w:id="354" w:name="_Toc412998125"/>
      <w:r w:rsidRPr="00582936">
        <w:rPr>
          <w:rFonts w:ascii="Century Gothic" w:eastAsia="Calibri" w:hAnsi="Century Gothic" w:cs="Times New Roman"/>
          <w:iCs/>
          <w:color w:val="6E6E7C"/>
          <w:sz w:val="21"/>
          <w:szCs w:val="21"/>
        </w:rPr>
        <w:t>En la ENESEM se construyen variables derivadas a partir de la información otorgada por las empresas. Estas derivaciones atienden las recomendaciones del Manual del Sistema de Cuentas Nacionales (SCN) y se construyen con la finalidad de facilitar la interpretación de los resultados y cumplir los objetivos de la investigación. En este contexto, las variables calculadas son las siguientes:</w:t>
      </w:r>
    </w:p>
    <w:p w14:paraId="04C232C8" w14:textId="77777777" w:rsidR="002B0BB0" w:rsidRPr="00582936" w:rsidRDefault="002B0BB0" w:rsidP="00E5524A">
      <w:pPr>
        <w:numPr>
          <w:ilvl w:val="0"/>
          <w:numId w:val="31"/>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Producción total empresarial</w:t>
      </w:r>
    </w:p>
    <w:p w14:paraId="2922CA72" w14:textId="77777777" w:rsidR="002B0BB0" w:rsidRPr="00582936" w:rsidRDefault="002B0BB0" w:rsidP="00E5524A">
      <w:pPr>
        <w:numPr>
          <w:ilvl w:val="0"/>
          <w:numId w:val="31"/>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Consumo intermedio empresarial</w:t>
      </w:r>
    </w:p>
    <w:p w14:paraId="36BD3C33" w14:textId="77777777" w:rsidR="002B0BB0" w:rsidRPr="00582936" w:rsidRDefault="002B0BB0" w:rsidP="00E5524A">
      <w:pPr>
        <w:numPr>
          <w:ilvl w:val="0"/>
          <w:numId w:val="31"/>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Valor agregado empresarial</w:t>
      </w:r>
    </w:p>
    <w:p w14:paraId="14BB40A1" w14:textId="77777777" w:rsidR="002B0BB0" w:rsidRPr="00582936" w:rsidRDefault="002B0BB0" w:rsidP="00E5524A">
      <w:pPr>
        <w:numPr>
          <w:ilvl w:val="0"/>
          <w:numId w:val="31"/>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Personal ocupado (afiliado) empresarial</w:t>
      </w:r>
    </w:p>
    <w:p w14:paraId="6EAB1AA1" w14:textId="77777777" w:rsidR="002B0BB0" w:rsidRPr="00582936" w:rsidRDefault="002B0BB0" w:rsidP="00E5524A">
      <w:pPr>
        <w:numPr>
          <w:ilvl w:val="0"/>
          <w:numId w:val="31"/>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Formación bruta de capital fijo empresarial</w:t>
      </w:r>
    </w:p>
    <w:p w14:paraId="352990E5" w14:textId="77777777" w:rsidR="002B0BB0" w:rsidRPr="00582936" w:rsidRDefault="002B0BB0" w:rsidP="00E5524A">
      <w:pPr>
        <w:numPr>
          <w:ilvl w:val="0"/>
          <w:numId w:val="31"/>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Remuneraciones empresariales</w:t>
      </w:r>
    </w:p>
    <w:p w14:paraId="16A86527" w14:textId="77777777" w:rsidR="002B0BB0" w:rsidRPr="00582936" w:rsidRDefault="00E47017" w:rsidP="00E5524A">
      <w:pPr>
        <w:numPr>
          <w:ilvl w:val="0"/>
          <w:numId w:val="31"/>
        </w:numPr>
        <w:spacing w:after="200" w:line="276" w:lineRule="auto"/>
        <w:contextualSpacing/>
        <w:jc w:val="both"/>
        <w:rPr>
          <w:rFonts w:ascii="Century Gothic" w:eastAsia="Calibri" w:hAnsi="Century Gothic" w:cs="Times New Roman"/>
          <w:iCs/>
          <w:color w:val="6E6E7C"/>
          <w:sz w:val="21"/>
          <w:szCs w:val="21"/>
        </w:rPr>
      </w:pPr>
      <w:r>
        <w:rPr>
          <w:rFonts w:ascii="Century Gothic" w:eastAsia="Calibri" w:hAnsi="Century Gothic" w:cs="Times New Roman"/>
          <w:iCs/>
          <w:color w:val="6E6E7C"/>
          <w:sz w:val="21"/>
          <w:szCs w:val="21"/>
        </w:rPr>
        <w:t>Otras</w:t>
      </w:r>
    </w:p>
    <w:p w14:paraId="553D5957" w14:textId="77777777" w:rsidR="002B0BB0" w:rsidRDefault="002B0BB0" w:rsidP="002B0BB0">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Para obtener las variables derivadas se considera el SCN 2008, que aplica las siguientes fórmulas de cálculo:</w:t>
      </w:r>
    </w:p>
    <w:p w14:paraId="2D994615" w14:textId="77777777" w:rsidR="002B0BB0" w:rsidRPr="00582936" w:rsidRDefault="002B0BB0" w:rsidP="002B0BB0">
      <w:pPr>
        <w:spacing w:after="160" w:line="259" w:lineRule="auto"/>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lastRenderedPageBreak/>
        <w:t>Producción total empresarial</w:t>
      </w:r>
    </w:p>
    <w:p w14:paraId="6C22678C" w14:textId="77777777" w:rsidR="002B0BB0" w:rsidRPr="00582936" w:rsidRDefault="002B0BB0" w:rsidP="002B0BB0">
      <w:pPr>
        <w:spacing w:after="200" w:line="276" w:lineRule="auto"/>
        <w:jc w:val="right"/>
        <w:rPr>
          <w:rFonts w:ascii="Century Gothic" w:eastAsia="Calibri" w:hAnsi="Century Gothic" w:cs="Calibri"/>
          <w:i/>
          <w:iCs/>
          <w:color w:val="6E6E7C"/>
          <w:sz w:val="21"/>
          <w:szCs w:val="21"/>
        </w:rPr>
      </w:pPr>
      <m:oMathPara>
        <m:oMath>
          <m:r>
            <m:rPr>
              <m:sty m:val="bi"/>
            </m:rPr>
            <w:rPr>
              <w:rFonts w:ascii="Cambria Math" w:eastAsia="Calibri" w:hAnsi="Cambria Math" w:cs="Calibri"/>
              <w:color w:val="6E6E7C"/>
              <w:sz w:val="21"/>
              <w:szCs w:val="21"/>
            </w:rPr>
            <m:t>prodtota=Vbp+</m:t>
          </m:r>
          <m:r>
            <m:rPr>
              <m:sty m:val="b"/>
            </m:rPr>
            <w:rPr>
              <w:rFonts w:ascii="Cambria Math" w:eastAsia="Calibri" w:hAnsi="Cambria Math" w:cs="Calibri"/>
              <w:color w:val="6E6E7C"/>
              <w:sz w:val="21"/>
              <w:szCs w:val="21"/>
            </w:rPr>
            <m:t>Vbc+Vns-Cbnp</m:t>
          </m:r>
          <m:r>
            <m:rPr>
              <m:sty m:val="bi"/>
            </m:rPr>
            <w:rPr>
              <w:rFonts w:ascii="Cambria Math" w:eastAsia="Calibri" w:hAnsi="Cambria Math" w:cs="Calibri"/>
              <w:color w:val="6E6E7C"/>
              <w:sz w:val="21"/>
              <w:szCs w:val="21"/>
            </w:rPr>
            <m:t>+oingxser+varexisbt+varexism+tcaf</m:t>
          </m:r>
        </m:oMath>
      </m:oMathPara>
    </w:p>
    <w:tbl>
      <w:tblPr>
        <w:tblW w:w="8838" w:type="dxa"/>
        <w:tblInd w:w="55" w:type="dxa"/>
        <w:tblCellMar>
          <w:left w:w="70" w:type="dxa"/>
          <w:right w:w="70" w:type="dxa"/>
        </w:tblCellMar>
        <w:tblLook w:val="04A0" w:firstRow="1" w:lastRow="0" w:firstColumn="1" w:lastColumn="0" w:noHBand="0" w:noVBand="1"/>
      </w:tblPr>
      <w:tblGrid>
        <w:gridCol w:w="1256"/>
        <w:gridCol w:w="1235"/>
        <w:gridCol w:w="6347"/>
      </w:tblGrid>
      <w:tr w:rsidR="002B0BB0" w:rsidRPr="00582936" w14:paraId="5021C947" w14:textId="77777777" w:rsidTr="000F7A8B">
        <w:trPr>
          <w:trHeight w:val="208"/>
        </w:trPr>
        <w:tc>
          <w:tcPr>
            <w:tcW w:w="1256" w:type="dxa"/>
            <w:tcBorders>
              <w:top w:val="nil"/>
              <w:left w:val="nil"/>
              <w:bottom w:val="nil"/>
              <w:right w:val="nil"/>
            </w:tcBorders>
            <w:shd w:val="clear" w:color="auto" w:fill="auto"/>
            <w:noWrap/>
            <w:vAlign w:val="center"/>
            <w:hideMark/>
          </w:tcPr>
          <w:p w14:paraId="7EEB507B"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prodtota</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247B6ACF"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2DBD3EDF"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Producción tota empresarial.</w:t>
            </w:r>
          </w:p>
        </w:tc>
      </w:tr>
      <w:tr w:rsidR="002B0BB0" w:rsidRPr="00582936" w14:paraId="5196F5ED" w14:textId="77777777" w:rsidTr="000F7A8B">
        <w:trPr>
          <w:trHeight w:val="308"/>
        </w:trPr>
        <w:tc>
          <w:tcPr>
            <w:tcW w:w="1256" w:type="dxa"/>
            <w:tcBorders>
              <w:top w:val="nil"/>
              <w:left w:val="nil"/>
              <w:bottom w:val="nil"/>
              <w:right w:val="nil"/>
            </w:tcBorders>
            <w:shd w:val="clear" w:color="auto" w:fill="auto"/>
            <w:noWrap/>
            <w:vAlign w:val="center"/>
            <w:hideMark/>
          </w:tcPr>
          <w:p w14:paraId="3B338195"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Vbp</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41FF1456"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71BBED99"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Ventas netas de bienes producidos por la empresa.</w:t>
            </w:r>
          </w:p>
        </w:tc>
      </w:tr>
      <w:tr w:rsidR="002B0BB0" w:rsidRPr="00582936" w14:paraId="49370E40" w14:textId="77777777" w:rsidTr="000F7A8B">
        <w:trPr>
          <w:trHeight w:val="308"/>
        </w:trPr>
        <w:tc>
          <w:tcPr>
            <w:tcW w:w="1256" w:type="dxa"/>
            <w:tcBorders>
              <w:top w:val="nil"/>
              <w:left w:val="nil"/>
              <w:bottom w:val="nil"/>
              <w:right w:val="nil"/>
            </w:tcBorders>
            <w:shd w:val="clear" w:color="auto" w:fill="auto"/>
            <w:noWrap/>
            <w:vAlign w:val="center"/>
            <w:hideMark/>
          </w:tcPr>
          <w:p w14:paraId="27655BF1"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Vbc</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7684F408"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6592BBAF"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Ventas netas de bienes no producidos (mercaderías) por la empresa.</w:t>
            </w:r>
          </w:p>
        </w:tc>
      </w:tr>
      <w:tr w:rsidR="002B0BB0" w:rsidRPr="00582936" w14:paraId="11BAD98B" w14:textId="77777777" w:rsidTr="000F7A8B">
        <w:trPr>
          <w:trHeight w:val="208"/>
        </w:trPr>
        <w:tc>
          <w:tcPr>
            <w:tcW w:w="1256" w:type="dxa"/>
            <w:tcBorders>
              <w:top w:val="nil"/>
              <w:left w:val="nil"/>
              <w:bottom w:val="nil"/>
              <w:right w:val="nil"/>
            </w:tcBorders>
            <w:shd w:val="clear" w:color="auto" w:fill="auto"/>
            <w:noWrap/>
            <w:vAlign w:val="center"/>
            <w:hideMark/>
          </w:tcPr>
          <w:p w14:paraId="602A99BF"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Vns</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5D590ED3"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3C9A97B5"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Ventas netas de servicios.</w:t>
            </w:r>
          </w:p>
        </w:tc>
      </w:tr>
      <w:tr w:rsidR="002B0BB0" w:rsidRPr="00582936" w14:paraId="19DC8D26" w14:textId="77777777" w:rsidTr="000F7A8B">
        <w:trPr>
          <w:trHeight w:val="308"/>
        </w:trPr>
        <w:tc>
          <w:tcPr>
            <w:tcW w:w="1256" w:type="dxa"/>
            <w:tcBorders>
              <w:top w:val="nil"/>
              <w:left w:val="nil"/>
              <w:bottom w:val="nil"/>
              <w:right w:val="nil"/>
            </w:tcBorders>
            <w:shd w:val="clear" w:color="auto" w:fill="auto"/>
            <w:noWrap/>
            <w:vAlign w:val="center"/>
            <w:hideMark/>
          </w:tcPr>
          <w:p w14:paraId="4838545B"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Cbnp</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3408FD01"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57DECFF3"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Total del costo de compras netas de bienes no producidos (-).</w:t>
            </w:r>
          </w:p>
        </w:tc>
      </w:tr>
      <w:tr w:rsidR="002B0BB0" w:rsidRPr="00582936" w14:paraId="50B5F6AD" w14:textId="77777777" w:rsidTr="000F7A8B">
        <w:trPr>
          <w:trHeight w:val="208"/>
        </w:trPr>
        <w:tc>
          <w:tcPr>
            <w:tcW w:w="1256" w:type="dxa"/>
            <w:tcBorders>
              <w:top w:val="nil"/>
              <w:left w:val="nil"/>
              <w:bottom w:val="nil"/>
              <w:right w:val="nil"/>
            </w:tcBorders>
            <w:shd w:val="clear" w:color="auto" w:fill="auto"/>
            <w:noWrap/>
            <w:vAlign w:val="center"/>
            <w:hideMark/>
          </w:tcPr>
          <w:p w14:paraId="3D1FA58D"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oingxser</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021ED54A"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73E91ACC"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Otros ingresos.</w:t>
            </w:r>
          </w:p>
        </w:tc>
      </w:tr>
      <w:tr w:rsidR="002B0BB0" w:rsidRPr="00582936" w14:paraId="30DAD4EC" w14:textId="77777777" w:rsidTr="000F7A8B">
        <w:trPr>
          <w:trHeight w:val="208"/>
        </w:trPr>
        <w:tc>
          <w:tcPr>
            <w:tcW w:w="1256" w:type="dxa"/>
            <w:tcBorders>
              <w:top w:val="nil"/>
              <w:left w:val="nil"/>
              <w:bottom w:val="nil"/>
              <w:right w:val="nil"/>
            </w:tcBorders>
            <w:shd w:val="clear" w:color="auto" w:fill="auto"/>
            <w:noWrap/>
            <w:vAlign w:val="center"/>
            <w:hideMark/>
          </w:tcPr>
          <w:p w14:paraId="6FC53146"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varexisbt</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7B002FE1"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5139C8D8"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Variación de existencias de bienes producidos.</w:t>
            </w:r>
          </w:p>
        </w:tc>
      </w:tr>
      <w:tr w:rsidR="002B0BB0" w:rsidRPr="00582936" w14:paraId="3D25581B" w14:textId="77777777" w:rsidTr="000F7A8B">
        <w:trPr>
          <w:trHeight w:val="308"/>
        </w:trPr>
        <w:tc>
          <w:tcPr>
            <w:tcW w:w="1256" w:type="dxa"/>
            <w:tcBorders>
              <w:top w:val="nil"/>
              <w:left w:val="nil"/>
              <w:bottom w:val="nil"/>
              <w:right w:val="nil"/>
            </w:tcBorders>
            <w:shd w:val="clear" w:color="auto" w:fill="auto"/>
            <w:noWrap/>
            <w:vAlign w:val="center"/>
            <w:hideMark/>
          </w:tcPr>
          <w:p w14:paraId="56271C07"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varexism</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356B1E85"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697EB652"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Variación de existencias de bienes no producidos.</w:t>
            </w:r>
          </w:p>
        </w:tc>
      </w:tr>
      <w:tr w:rsidR="002B0BB0" w:rsidRPr="00582936" w14:paraId="6A430CD6" w14:textId="77777777" w:rsidTr="000F7A8B">
        <w:trPr>
          <w:trHeight w:val="308"/>
        </w:trPr>
        <w:tc>
          <w:tcPr>
            <w:tcW w:w="1256" w:type="dxa"/>
            <w:tcBorders>
              <w:top w:val="nil"/>
              <w:left w:val="nil"/>
              <w:bottom w:val="nil"/>
              <w:right w:val="nil"/>
            </w:tcBorders>
            <w:shd w:val="clear" w:color="auto" w:fill="auto"/>
            <w:noWrap/>
            <w:vAlign w:val="center"/>
            <w:hideMark/>
          </w:tcPr>
          <w:p w14:paraId="5CB1E85C"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tcaf</w:t>
            </w:r>
            <w:proofErr w:type="spellEnd"/>
            <w:r w:rsidRPr="00582936">
              <w:rPr>
                <w:rFonts w:ascii="Century Gothic" w:eastAsia="Times New Roman" w:hAnsi="Century Gothic" w:cs="Aparajita"/>
                <w:i/>
                <w:iCs/>
                <w:color w:val="6E6E7C"/>
                <w:sz w:val="21"/>
                <w:szCs w:val="21"/>
                <w:lang w:eastAsia="es-EC"/>
              </w:rPr>
              <w:t xml:space="preserve">   </w:t>
            </w:r>
          </w:p>
        </w:tc>
        <w:tc>
          <w:tcPr>
            <w:tcW w:w="1235" w:type="dxa"/>
            <w:tcBorders>
              <w:top w:val="nil"/>
              <w:left w:val="nil"/>
              <w:bottom w:val="nil"/>
              <w:right w:val="nil"/>
            </w:tcBorders>
            <w:shd w:val="clear" w:color="auto" w:fill="auto"/>
            <w:noWrap/>
            <w:vAlign w:val="center"/>
            <w:hideMark/>
          </w:tcPr>
          <w:p w14:paraId="302C087C"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 </w:t>
            </w:r>
          </w:p>
        </w:tc>
        <w:tc>
          <w:tcPr>
            <w:tcW w:w="6347" w:type="dxa"/>
            <w:tcBorders>
              <w:top w:val="nil"/>
              <w:left w:val="nil"/>
              <w:bottom w:val="nil"/>
              <w:right w:val="nil"/>
            </w:tcBorders>
            <w:shd w:val="clear" w:color="auto" w:fill="auto"/>
            <w:noWrap/>
            <w:vAlign w:val="center"/>
            <w:hideMark/>
          </w:tcPr>
          <w:p w14:paraId="244E4894"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Total construcciones de activos fijos por cuenta propia.</w:t>
            </w:r>
          </w:p>
        </w:tc>
      </w:tr>
    </w:tbl>
    <w:p w14:paraId="29505AFD" w14:textId="77777777" w:rsidR="002B0BB0" w:rsidRDefault="002B0BB0" w:rsidP="002B0BB0">
      <w:pPr>
        <w:spacing w:after="160" w:line="259" w:lineRule="auto"/>
        <w:rPr>
          <w:rFonts w:ascii="Century Gothic" w:eastAsia="Calibri" w:hAnsi="Century Gothic" w:cs="Calibri"/>
          <w:b/>
          <w:iCs/>
          <w:color w:val="6E6E7C"/>
          <w:sz w:val="21"/>
          <w:szCs w:val="21"/>
        </w:rPr>
      </w:pPr>
    </w:p>
    <w:p w14:paraId="0ABF6F4F" w14:textId="77777777" w:rsidR="002B0BB0" w:rsidRPr="00582936" w:rsidRDefault="002B0BB0" w:rsidP="002B0BB0">
      <w:pPr>
        <w:spacing w:after="160" w:line="259" w:lineRule="auto"/>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Consumo intermedio empresarial</w:t>
      </w:r>
    </w:p>
    <w:p w14:paraId="6D1DE38B" w14:textId="77777777" w:rsidR="002B0BB0" w:rsidRPr="00582936" w:rsidRDefault="002B0BB0" w:rsidP="002B0BB0">
      <w:pPr>
        <w:spacing w:after="200" w:line="276" w:lineRule="auto"/>
        <w:jc w:val="both"/>
        <w:rPr>
          <w:rFonts w:ascii="Century Gothic" w:eastAsia="Calibri" w:hAnsi="Century Gothic" w:cs="Calibri"/>
          <w:b/>
          <w:iCs/>
          <w:color w:val="6E6E7C"/>
          <w:sz w:val="21"/>
          <w:szCs w:val="21"/>
        </w:rPr>
      </w:pPr>
      <m:oMathPara>
        <m:oMath>
          <m:r>
            <m:rPr>
              <m:sty m:val="bi"/>
            </m:rPr>
            <w:rPr>
              <w:rFonts w:ascii="Cambria Math" w:eastAsia="Times New Roman" w:hAnsi="Cambria Math" w:cs="Aparajita"/>
              <w:color w:val="6E6E7C"/>
              <w:sz w:val="21"/>
              <w:szCs w:val="21"/>
              <w:lang w:eastAsia="es-EC"/>
            </w:rPr>
            <m:t>consint</m:t>
          </m:r>
          <m:r>
            <m:rPr>
              <m:sty m:val="bi"/>
            </m:rPr>
            <w:rPr>
              <w:rFonts w:ascii="Cambria Math" w:eastAsia="Calibri" w:hAnsi="Cambria Math" w:cs="Calibri"/>
              <w:color w:val="6E6E7C"/>
              <w:sz w:val="21"/>
              <w:szCs w:val="21"/>
            </w:rPr>
            <m:t>=totinsum+</m:t>
          </m:r>
          <m:r>
            <m:rPr>
              <m:sty m:val="bi"/>
            </m:rPr>
            <w:rPr>
              <w:rFonts w:ascii="Cambria Math" w:eastAsia="Times New Roman" w:hAnsi="Cambria Math" w:cs="Aparajita"/>
              <w:color w:val="6E6E7C"/>
              <w:sz w:val="21"/>
              <w:szCs w:val="21"/>
              <w:lang w:eastAsia="es-EC"/>
            </w:rPr>
            <m:t>gasopera</m:t>
          </m:r>
          <m:r>
            <m:rPr>
              <m:sty m:val="bi"/>
            </m:rPr>
            <w:rPr>
              <w:rFonts w:ascii="Cambria Math" w:eastAsia="Calibri" w:hAnsi="Cambria Math" w:cs="Calibri"/>
              <w:color w:val="6E6E7C"/>
              <w:sz w:val="21"/>
              <w:szCs w:val="21"/>
            </w:rPr>
            <m:t>+</m:t>
          </m:r>
          <m:r>
            <m:rPr>
              <m:sty m:val="bi"/>
            </m:rPr>
            <w:rPr>
              <w:rFonts w:ascii="Cambria Math" w:eastAsia="Times New Roman" w:hAnsi="Cambria Math" w:cs="Aparajita"/>
              <w:color w:val="6E6E7C"/>
              <w:sz w:val="21"/>
              <w:szCs w:val="21"/>
              <w:lang w:eastAsia="es-EC"/>
            </w:rPr>
            <m:t>otrgasop</m:t>
          </m:r>
        </m:oMath>
      </m:oMathPara>
    </w:p>
    <w:tbl>
      <w:tblPr>
        <w:tblW w:w="7740" w:type="dxa"/>
        <w:tblInd w:w="55" w:type="dxa"/>
        <w:tblCellMar>
          <w:left w:w="70" w:type="dxa"/>
          <w:right w:w="70" w:type="dxa"/>
        </w:tblCellMar>
        <w:tblLook w:val="04A0" w:firstRow="1" w:lastRow="0" w:firstColumn="1" w:lastColumn="0" w:noHBand="0" w:noVBand="1"/>
      </w:tblPr>
      <w:tblGrid>
        <w:gridCol w:w="1347"/>
        <w:gridCol w:w="1327"/>
        <w:gridCol w:w="5066"/>
      </w:tblGrid>
      <w:tr w:rsidR="002B0BB0" w:rsidRPr="00582936" w14:paraId="4F80E7B1" w14:textId="77777777" w:rsidTr="000F7A8B">
        <w:trPr>
          <w:trHeight w:val="268"/>
        </w:trPr>
        <w:tc>
          <w:tcPr>
            <w:tcW w:w="1347" w:type="dxa"/>
            <w:tcBorders>
              <w:top w:val="nil"/>
              <w:left w:val="nil"/>
              <w:bottom w:val="nil"/>
              <w:right w:val="nil"/>
            </w:tcBorders>
            <w:shd w:val="clear" w:color="auto" w:fill="auto"/>
            <w:noWrap/>
            <w:vAlign w:val="center"/>
            <w:hideMark/>
          </w:tcPr>
          <w:p w14:paraId="2EAF2E07"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consint</w:t>
            </w:r>
            <w:proofErr w:type="spellEnd"/>
            <w:r w:rsidRPr="00582936">
              <w:rPr>
                <w:rFonts w:ascii="Century Gothic" w:eastAsia="Times New Roman" w:hAnsi="Century Gothic" w:cs="Aparajita"/>
                <w:i/>
                <w:iCs/>
                <w:color w:val="6E6E7C"/>
                <w:sz w:val="21"/>
                <w:szCs w:val="21"/>
                <w:lang w:eastAsia="es-EC"/>
              </w:rPr>
              <w:t xml:space="preserve"> </w:t>
            </w:r>
          </w:p>
        </w:tc>
        <w:tc>
          <w:tcPr>
            <w:tcW w:w="1327" w:type="dxa"/>
            <w:tcBorders>
              <w:top w:val="nil"/>
              <w:left w:val="nil"/>
              <w:bottom w:val="nil"/>
              <w:right w:val="nil"/>
            </w:tcBorders>
            <w:shd w:val="clear" w:color="auto" w:fill="auto"/>
            <w:noWrap/>
            <w:vAlign w:val="center"/>
            <w:hideMark/>
          </w:tcPr>
          <w:p w14:paraId="118596FE"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066" w:type="dxa"/>
            <w:tcBorders>
              <w:top w:val="nil"/>
              <w:left w:val="nil"/>
              <w:bottom w:val="nil"/>
              <w:right w:val="nil"/>
            </w:tcBorders>
            <w:shd w:val="clear" w:color="auto" w:fill="auto"/>
            <w:noWrap/>
            <w:vAlign w:val="center"/>
            <w:hideMark/>
          </w:tcPr>
          <w:p w14:paraId="4CFE3696"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Consumo intermedio empresarial.</w:t>
            </w:r>
          </w:p>
        </w:tc>
      </w:tr>
      <w:tr w:rsidR="002B0BB0" w:rsidRPr="00582936" w14:paraId="2A02E2B2" w14:textId="77777777" w:rsidTr="000F7A8B">
        <w:trPr>
          <w:trHeight w:val="268"/>
        </w:trPr>
        <w:tc>
          <w:tcPr>
            <w:tcW w:w="1347" w:type="dxa"/>
            <w:tcBorders>
              <w:top w:val="nil"/>
              <w:left w:val="nil"/>
              <w:bottom w:val="nil"/>
              <w:right w:val="nil"/>
            </w:tcBorders>
            <w:shd w:val="clear" w:color="auto" w:fill="auto"/>
            <w:noWrap/>
            <w:vAlign w:val="center"/>
            <w:hideMark/>
          </w:tcPr>
          <w:p w14:paraId="1F454AEB"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totinsum</w:t>
            </w:r>
            <w:proofErr w:type="spellEnd"/>
            <w:r w:rsidRPr="00582936">
              <w:rPr>
                <w:rFonts w:ascii="Century Gothic" w:eastAsia="Times New Roman" w:hAnsi="Century Gothic" w:cs="Aparajita"/>
                <w:i/>
                <w:iCs/>
                <w:color w:val="6E6E7C"/>
                <w:sz w:val="21"/>
                <w:szCs w:val="21"/>
                <w:lang w:eastAsia="es-EC"/>
              </w:rPr>
              <w:t xml:space="preserve"> </w:t>
            </w:r>
          </w:p>
        </w:tc>
        <w:tc>
          <w:tcPr>
            <w:tcW w:w="1327" w:type="dxa"/>
            <w:tcBorders>
              <w:top w:val="nil"/>
              <w:left w:val="nil"/>
              <w:bottom w:val="nil"/>
              <w:right w:val="nil"/>
            </w:tcBorders>
            <w:shd w:val="clear" w:color="auto" w:fill="auto"/>
            <w:noWrap/>
            <w:vAlign w:val="center"/>
            <w:hideMark/>
          </w:tcPr>
          <w:p w14:paraId="4057D623"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066" w:type="dxa"/>
            <w:tcBorders>
              <w:top w:val="nil"/>
              <w:left w:val="nil"/>
              <w:bottom w:val="nil"/>
              <w:right w:val="nil"/>
            </w:tcBorders>
            <w:shd w:val="clear" w:color="auto" w:fill="auto"/>
            <w:noWrap/>
            <w:vAlign w:val="center"/>
            <w:hideMark/>
          </w:tcPr>
          <w:p w14:paraId="04BEE279"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Total insumos.</w:t>
            </w:r>
          </w:p>
        </w:tc>
      </w:tr>
      <w:tr w:rsidR="002B0BB0" w:rsidRPr="00582936" w14:paraId="41A06C97" w14:textId="77777777" w:rsidTr="000F7A8B">
        <w:trPr>
          <w:trHeight w:val="268"/>
        </w:trPr>
        <w:tc>
          <w:tcPr>
            <w:tcW w:w="1347" w:type="dxa"/>
            <w:tcBorders>
              <w:top w:val="nil"/>
              <w:left w:val="nil"/>
              <w:bottom w:val="nil"/>
              <w:right w:val="nil"/>
            </w:tcBorders>
            <w:shd w:val="clear" w:color="auto" w:fill="auto"/>
            <w:noWrap/>
            <w:vAlign w:val="center"/>
            <w:hideMark/>
          </w:tcPr>
          <w:p w14:paraId="4BBF9CFB"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gasopera</w:t>
            </w:r>
            <w:proofErr w:type="spellEnd"/>
          </w:p>
        </w:tc>
        <w:tc>
          <w:tcPr>
            <w:tcW w:w="1327" w:type="dxa"/>
            <w:tcBorders>
              <w:top w:val="nil"/>
              <w:left w:val="nil"/>
              <w:bottom w:val="nil"/>
              <w:right w:val="nil"/>
            </w:tcBorders>
            <w:shd w:val="clear" w:color="auto" w:fill="auto"/>
            <w:noWrap/>
            <w:vAlign w:val="center"/>
            <w:hideMark/>
          </w:tcPr>
          <w:p w14:paraId="10F62C9E"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066" w:type="dxa"/>
            <w:tcBorders>
              <w:top w:val="nil"/>
              <w:left w:val="nil"/>
              <w:bottom w:val="nil"/>
              <w:right w:val="nil"/>
            </w:tcBorders>
            <w:shd w:val="clear" w:color="auto" w:fill="auto"/>
            <w:noWrap/>
            <w:vAlign w:val="center"/>
            <w:hideMark/>
          </w:tcPr>
          <w:p w14:paraId="4F1A5E4C"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Gastos operacionales</w:t>
            </w:r>
          </w:p>
        </w:tc>
      </w:tr>
      <w:tr w:rsidR="002B0BB0" w:rsidRPr="00582936" w14:paraId="54CF679A" w14:textId="77777777" w:rsidTr="000F7A8B">
        <w:trPr>
          <w:trHeight w:val="268"/>
        </w:trPr>
        <w:tc>
          <w:tcPr>
            <w:tcW w:w="1347" w:type="dxa"/>
            <w:tcBorders>
              <w:top w:val="nil"/>
              <w:left w:val="nil"/>
              <w:bottom w:val="nil"/>
              <w:right w:val="nil"/>
            </w:tcBorders>
            <w:shd w:val="clear" w:color="auto" w:fill="auto"/>
            <w:noWrap/>
            <w:vAlign w:val="center"/>
            <w:hideMark/>
          </w:tcPr>
          <w:p w14:paraId="4272B4AC"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otrgasop</w:t>
            </w:r>
            <w:proofErr w:type="spellEnd"/>
          </w:p>
        </w:tc>
        <w:tc>
          <w:tcPr>
            <w:tcW w:w="1327" w:type="dxa"/>
            <w:tcBorders>
              <w:top w:val="nil"/>
              <w:left w:val="nil"/>
              <w:bottom w:val="nil"/>
              <w:right w:val="nil"/>
            </w:tcBorders>
            <w:shd w:val="clear" w:color="auto" w:fill="auto"/>
            <w:noWrap/>
            <w:vAlign w:val="center"/>
            <w:hideMark/>
          </w:tcPr>
          <w:p w14:paraId="4589FFD4"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066" w:type="dxa"/>
            <w:tcBorders>
              <w:top w:val="nil"/>
              <w:left w:val="nil"/>
              <w:bottom w:val="nil"/>
              <w:right w:val="nil"/>
            </w:tcBorders>
            <w:shd w:val="clear" w:color="auto" w:fill="auto"/>
            <w:noWrap/>
            <w:vAlign w:val="center"/>
            <w:hideMark/>
          </w:tcPr>
          <w:p w14:paraId="5A283D95"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Otros gastos operacionales</w:t>
            </w:r>
          </w:p>
        </w:tc>
      </w:tr>
    </w:tbl>
    <w:p w14:paraId="33C65D0E" w14:textId="77777777" w:rsidR="002B0BB0" w:rsidRPr="00582936" w:rsidRDefault="002B0BB0" w:rsidP="002B0BB0">
      <w:pPr>
        <w:spacing w:before="240" w:after="200"/>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Valor agregado empresarial</w:t>
      </w:r>
    </w:p>
    <w:p w14:paraId="5BECC152" w14:textId="77777777" w:rsidR="002B0BB0" w:rsidRPr="00582936" w:rsidRDefault="002B0BB0" w:rsidP="002B0BB0">
      <w:pPr>
        <w:spacing w:after="200"/>
        <w:jc w:val="both"/>
        <w:rPr>
          <w:rFonts w:ascii="Century Gothic" w:eastAsia="Calibri" w:hAnsi="Century Gothic" w:cs="Arial"/>
          <w:iCs/>
          <w:color w:val="6E6E7C"/>
          <w:sz w:val="21"/>
          <w:szCs w:val="21"/>
        </w:rPr>
      </w:pPr>
      <m:oMathPara>
        <m:oMath>
          <m:r>
            <m:rPr>
              <m:sty m:val="bi"/>
            </m:rPr>
            <w:rPr>
              <w:rFonts w:ascii="Cambria Math" w:eastAsia="Calibri" w:hAnsi="Cambria Math" w:cs="Calibri"/>
              <w:color w:val="6E6E7C"/>
              <w:sz w:val="21"/>
              <w:szCs w:val="21"/>
            </w:rPr>
            <m:t>valag=</m:t>
          </m:r>
          <m:r>
            <m:rPr>
              <m:sty m:val="bi"/>
            </m:rPr>
            <w:rPr>
              <w:rFonts w:ascii="Cambria Math" w:eastAsia="Times New Roman" w:hAnsi="Cambria Math" w:cs="Aparajita"/>
              <w:color w:val="6E6E7C"/>
              <w:sz w:val="21"/>
              <w:szCs w:val="21"/>
              <w:lang w:eastAsia="es-EC"/>
            </w:rPr>
            <m:t>prodtota</m:t>
          </m:r>
          <m:r>
            <m:rPr>
              <m:sty m:val="bi"/>
            </m:rPr>
            <w:rPr>
              <w:rFonts w:ascii="Cambria Math" w:eastAsia="Calibri" w:hAnsi="Cambria Math" w:cs="Calibri"/>
              <w:color w:val="6E6E7C"/>
              <w:sz w:val="21"/>
              <w:szCs w:val="21"/>
            </w:rPr>
            <m:t>-</m:t>
          </m:r>
          <m:r>
            <m:rPr>
              <m:sty m:val="bi"/>
            </m:rPr>
            <w:rPr>
              <w:rFonts w:ascii="Cambria Math" w:eastAsia="Times New Roman" w:hAnsi="Cambria Math" w:cs="Aparajita"/>
              <w:color w:val="6E6E7C"/>
              <w:sz w:val="21"/>
              <w:szCs w:val="21"/>
              <w:lang w:eastAsia="es-EC"/>
            </w:rPr>
            <m:t>consint</m:t>
          </m:r>
        </m:oMath>
      </m:oMathPara>
    </w:p>
    <w:tbl>
      <w:tblPr>
        <w:tblW w:w="7495" w:type="dxa"/>
        <w:tblInd w:w="55" w:type="dxa"/>
        <w:tblCellMar>
          <w:left w:w="70" w:type="dxa"/>
          <w:right w:w="70" w:type="dxa"/>
        </w:tblCellMar>
        <w:tblLook w:val="04A0" w:firstRow="1" w:lastRow="0" w:firstColumn="1" w:lastColumn="0" w:noHBand="0" w:noVBand="1"/>
      </w:tblPr>
      <w:tblGrid>
        <w:gridCol w:w="1304"/>
        <w:gridCol w:w="1285"/>
        <w:gridCol w:w="4906"/>
      </w:tblGrid>
      <w:tr w:rsidR="002B0BB0" w:rsidRPr="00582936" w14:paraId="7592A8C0" w14:textId="77777777" w:rsidTr="000F7A8B">
        <w:trPr>
          <w:trHeight w:val="271"/>
        </w:trPr>
        <w:tc>
          <w:tcPr>
            <w:tcW w:w="1304" w:type="dxa"/>
            <w:tcBorders>
              <w:top w:val="nil"/>
              <w:left w:val="nil"/>
              <w:bottom w:val="nil"/>
              <w:right w:val="nil"/>
            </w:tcBorders>
            <w:shd w:val="clear" w:color="auto" w:fill="auto"/>
            <w:noWrap/>
            <w:vAlign w:val="center"/>
            <w:hideMark/>
          </w:tcPr>
          <w:p w14:paraId="24C13B76"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valag</w:t>
            </w:r>
            <w:proofErr w:type="spellEnd"/>
          </w:p>
        </w:tc>
        <w:tc>
          <w:tcPr>
            <w:tcW w:w="1285" w:type="dxa"/>
            <w:tcBorders>
              <w:top w:val="nil"/>
              <w:left w:val="nil"/>
              <w:bottom w:val="nil"/>
              <w:right w:val="nil"/>
            </w:tcBorders>
            <w:shd w:val="clear" w:color="auto" w:fill="auto"/>
            <w:noWrap/>
            <w:vAlign w:val="center"/>
            <w:hideMark/>
          </w:tcPr>
          <w:p w14:paraId="2412DB16"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4906" w:type="dxa"/>
            <w:tcBorders>
              <w:top w:val="nil"/>
              <w:left w:val="nil"/>
              <w:bottom w:val="nil"/>
              <w:right w:val="nil"/>
            </w:tcBorders>
            <w:shd w:val="clear" w:color="auto" w:fill="auto"/>
            <w:noWrap/>
            <w:vAlign w:val="center"/>
            <w:hideMark/>
          </w:tcPr>
          <w:p w14:paraId="026B9DD5"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Valor agregado empresarial.</w:t>
            </w:r>
          </w:p>
        </w:tc>
      </w:tr>
      <w:tr w:rsidR="002B0BB0" w:rsidRPr="00582936" w14:paraId="0BB9F43F" w14:textId="77777777" w:rsidTr="000F7A8B">
        <w:trPr>
          <w:trHeight w:val="271"/>
        </w:trPr>
        <w:tc>
          <w:tcPr>
            <w:tcW w:w="1304" w:type="dxa"/>
            <w:tcBorders>
              <w:top w:val="nil"/>
              <w:left w:val="nil"/>
              <w:bottom w:val="nil"/>
              <w:right w:val="nil"/>
            </w:tcBorders>
            <w:shd w:val="clear" w:color="auto" w:fill="auto"/>
            <w:noWrap/>
            <w:vAlign w:val="center"/>
            <w:hideMark/>
          </w:tcPr>
          <w:p w14:paraId="1660CCAF"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prodtota</w:t>
            </w:r>
            <w:proofErr w:type="spellEnd"/>
          </w:p>
        </w:tc>
        <w:tc>
          <w:tcPr>
            <w:tcW w:w="1285" w:type="dxa"/>
            <w:tcBorders>
              <w:top w:val="nil"/>
              <w:left w:val="nil"/>
              <w:bottom w:val="nil"/>
              <w:right w:val="nil"/>
            </w:tcBorders>
            <w:shd w:val="clear" w:color="auto" w:fill="auto"/>
            <w:noWrap/>
            <w:vAlign w:val="center"/>
            <w:hideMark/>
          </w:tcPr>
          <w:p w14:paraId="1A991497"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4906" w:type="dxa"/>
            <w:tcBorders>
              <w:top w:val="nil"/>
              <w:left w:val="nil"/>
              <w:bottom w:val="nil"/>
              <w:right w:val="nil"/>
            </w:tcBorders>
            <w:shd w:val="clear" w:color="auto" w:fill="auto"/>
            <w:noWrap/>
            <w:vAlign w:val="center"/>
            <w:hideMark/>
          </w:tcPr>
          <w:p w14:paraId="7DB7B57A"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Producción total empresarial.</w:t>
            </w:r>
          </w:p>
        </w:tc>
      </w:tr>
      <w:tr w:rsidR="002B0BB0" w:rsidRPr="00582936" w14:paraId="39AE223F" w14:textId="77777777" w:rsidTr="000F7A8B">
        <w:trPr>
          <w:trHeight w:val="271"/>
        </w:trPr>
        <w:tc>
          <w:tcPr>
            <w:tcW w:w="1304" w:type="dxa"/>
            <w:tcBorders>
              <w:top w:val="nil"/>
              <w:left w:val="nil"/>
              <w:bottom w:val="nil"/>
              <w:right w:val="nil"/>
            </w:tcBorders>
            <w:shd w:val="clear" w:color="auto" w:fill="auto"/>
            <w:noWrap/>
            <w:vAlign w:val="center"/>
            <w:hideMark/>
          </w:tcPr>
          <w:p w14:paraId="77DBD027" w14:textId="77777777" w:rsidR="002B0BB0" w:rsidRPr="00582936" w:rsidRDefault="002B0BB0" w:rsidP="002B0BB0">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consint</w:t>
            </w:r>
            <w:proofErr w:type="spellEnd"/>
          </w:p>
        </w:tc>
        <w:tc>
          <w:tcPr>
            <w:tcW w:w="1285" w:type="dxa"/>
            <w:tcBorders>
              <w:top w:val="nil"/>
              <w:left w:val="nil"/>
              <w:bottom w:val="nil"/>
              <w:right w:val="nil"/>
            </w:tcBorders>
            <w:shd w:val="clear" w:color="auto" w:fill="auto"/>
            <w:noWrap/>
            <w:vAlign w:val="center"/>
            <w:hideMark/>
          </w:tcPr>
          <w:p w14:paraId="46CD5C02"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4906" w:type="dxa"/>
            <w:tcBorders>
              <w:top w:val="nil"/>
              <w:left w:val="nil"/>
              <w:bottom w:val="nil"/>
              <w:right w:val="nil"/>
            </w:tcBorders>
            <w:shd w:val="clear" w:color="auto" w:fill="auto"/>
            <w:noWrap/>
            <w:vAlign w:val="center"/>
            <w:hideMark/>
          </w:tcPr>
          <w:p w14:paraId="4F4F8BAC"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Consumo intermedio empresarial.</w:t>
            </w:r>
          </w:p>
        </w:tc>
      </w:tr>
    </w:tbl>
    <w:p w14:paraId="68649FC7" w14:textId="77777777" w:rsidR="002B0BB0" w:rsidRPr="00582936" w:rsidRDefault="002B0BB0" w:rsidP="002B0BB0">
      <w:pPr>
        <w:spacing w:before="240"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b/>
          <w:iCs/>
          <w:color w:val="6E6E7C"/>
          <w:sz w:val="21"/>
          <w:szCs w:val="21"/>
        </w:rPr>
        <w:t>Personal ocupado empresarial</w:t>
      </w:r>
    </w:p>
    <w:p w14:paraId="77528DC6" w14:textId="77777777" w:rsidR="002B0BB0" w:rsidRPr="00582936" w:rsidRDefault="002B0BB0" w:rsidP="002B0BB0">
      <w:pPr>
        <w:spacing w:after="200" w:line="276" w:lineRule="auto"/>
        <w:jc w:val="center"/>
        <w:rPr>
          <w:rFonts w:ascii="Century Gothic" w:eastAsia="Calibri" w:hAnsi="Century Gothic" w:cs="Calibri"/>
          <w:b/>
          <w:i/>
          <w:iCs/>
          <w:color w:val="6E6E7C"/>
          <w:sz w:val="21"/>
          <w:szCs w:val="21"/>
        </w:rPr>
      </w:pPr>
      <m:oMathPara>
        <m:oMath>
          <m:r>
            <m:rPr>
              <m:sty m:val="b"/>
            </m:rPr>
            <w:rPr>
              <w:rFonts w:ascii="Cambria Math" w:eastAsia="Calibri" w:hAnsi="Cambria Math" w:cs="Calibri"/>
              <w:color w:val="6E6E7C"/>
              <w:sz w:val="21"/>
              <w:szCs w:val="21"/>
            </w:rPr>
            <m:t>t</m:t>
          </m:r>
          <m:r>
            <m:rPr>
              <m:sty m:val="bi"/>
            </m:rPr>
            <w:rPr>
              <w:rFonts w:ascii="Cambria Math" w:eastAsia="Calibri" w:hAnsi="Cambria Math" w:cs="Calibri"/>
              <w:color w:val="6E6E7C"/>
              <w:sz w:val="21"/>
              <w:szCs w:val="21"/>
            </w:rPr>
            <m:t>otalpeoc=</m:t>
          </m:r>
          <m:nary>
            <m:naryPr>
              <m:chr m:val="∑"/>
              <m:grow m:val="1"/>
              <m:ctrlPr>
                <w:rPr>
                  <w:rFonts w:ascii="Cambria Math" w:eastAsia="Calibri" w:hAnsi="Cambria Math" w:cs="Calibri"/>
                  <w:b/>
                  <w:i/>
                  <w:iCs/>
                  <w:color w:val="6E6E7C"/>
                  <w:sz w:val="21"/>
                  <w:szCs w:val="21"/>
                </w:rPr>
              </m:ctrlPr>
            </m:naryPr>
            <m:sub>
              <m:r>
                <m:rPr>
                  <m:sty m:val="bi"/>
                </m:rPr>
                <w:rPr>
                  <w:rFonts w:ascii="Cambria Math" w:eastAsia="Calibri" w:hAnsi="Cambria Math" w:cs="Calibri"/>
                  <w:color w:val="6E6E7C"/>
                  <w:sz w:val="21"/>
                  <w:szCs w:val="21"/>
                </w:rPr>
                <m:t>i=1</m:t>
              </m:r>
            </m:sub>
            <m:sup>
              <m:r>
                <m:rPr>
                  <m:sty m:val="bi"/>
                </m:rPr>
                <w:rPr>
                  <w:rFonts w:ascii="Cambria Math" w:eastAsia="Calibri" w:hAnsi="Cambria Math" w:cs="Calibri"/>
                  <w:color w:val="6E6E7C"/>
                  <w:sz w:val="21"/>
                  <w:szCs w:val="21"/>
                </w:rPr>
                <m:t>n</m:t>
              </m:r>
            </m:sup>
            <m:e>
              <m:sSub>
                <m:sSubPr>
                  <m:ctrlPr>
                    <w:rPr>
                      <w:rFonts w:ascii="Cambria Math" w:eastAsia="Calibri" w:hAnsi="Cambria Math" w:cs="Calibri"/>
                      <w:b/>
                      <w:i/>
                      <w:iCs/>
                      <w:color w:val="6E6E7C"/>
                      <w:sz w:val="21"/>
                      <w:szCs w:val="21"/>
                    </w:rPr>
                  </m:ctrlPr>
                </m:sSubPr>
                <m:e>
                  <m:r>
                    <m:rPr>
                      <m:sty m:val="bi"/>
                    </m:rPr>
                    <w:rPr>
                      <w:rFonts w:ascii="Cambria Math" w:eastAsia="Cambria Math" w:hAnsi="Cambria Math" w:cs="Cambria Math"/>
                      <w:color w:val="6E6E7C"/>
                      <w:sz w:val="21"/>
                      <w:szCs w:val="21"/>
                    </w:rPr>
                    <m:t>g</m:t>
                  </m:r>
                </m:e>
                <m:sub>
                  <m:r>
                    <m:rPr>
                      <m:sty m:val="bi"/>
                    </m:rPr>
                    <w:rPr>
                      <w:rFonts w:ascii="Cambria Math" w:eastAsia="Cambria Math" w:hAnsi="Cambria Math" w:cs="Cambria Math"/>
                      <w:color w:val="6E6E7C"/>
                      <w:sz w:val="21"/>
                      <w:szCs w:val="21"/>
                    </w:rPr>
                    <m:t>i</m:t>
                  </m:r>
                </m:sub>
              </m:sSub>
            </m:e>
          </m:nary>
        </m:oMath>
      </m:oMathPara>
    </w:p>
    <w:tbl>
      <w:tblPr>
        <w:tblW w:w="9513" w:type="dxa"/>
        <w:tblInd w:w="55" w:type="dxa"/>
        <w:tblCellMar>
          <w:left w:w="70" w:type="dxa"/>
          <w:right w:w="70" w:type="dxa"/>
        </w:tblCellMar>
        <w:tblLook w:val="04A0" w:firstRow="1" w:lastRow="0" w:firstColumn="1" w:lastColumn="0" w:noHBand="0" w:noVBand="1"/>
      </w:tblPr>
      <w:tblGrid>
        <w:gridCol w:w="1235"/>
        <w:gridCol w:w="550"/>
        <w:gridCol w:w="7797"/>
      </w:tblGrid>
      <w:tr w:rsidR="002B0BB0" w:rsidRPr="00582936" w14:paraId="5FD63744" w14:textId="77777777" w:rsidTr="000F7A8B">
        <w:trPr>
          <w:trHeight w:val="281"/>
        </w:trPr>
        <w:tc>
          <w:tcPr>
            <w:tcW w:w="1166" w:type="dxa"/>
            <w:tcBorders>
              <w:top w:val="nil"/>
              <w:left w:val="nil"/>
              <w:bottom w:val="nil"/>
              <w:right w:val="nil"/>
            </w:tcBorders>
            <w:shd w:val="clear" w:color="auto" w:fill="auto"/>
            <w:noWrap/>
            <w:vAlign w:val="center"/>
            <w:hideMark/>
          </w:tcPr>
          <w:p w14:paraId="3515E821" w14:textId="77777777" w:rsidR="002B0BB0" w:rsidRPr="00582936" w:rsidRDefault="002B0BB0" w:rsidP="002B0BB0">
            <w:pPr>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Totalpeoc</w:t>
            </w:r>
            <w:proofErr w:type="spellEnd"/>
            <w:r w:rsidRPr="00582936">
              <w:rPr>
                <w:rFonts w:ascii="Century Gothic" w:eastAsia="Times New Roman" w:hAnsi="Century Gothic" w:cs="Aparajita"/>
                <w:i/>
                <w:iCs/>
                <w:color w:val="6E6E7C"/>
                <w:sz w:val="21"/>
                <w:szCs w:val="21"/>
                <w:lang w:eastAsia="es-EC"/>
              </w:rPr>
              <w:t>:</w:t>
            </w:r>
          </w:p>
        </w:tc>
        <w:tc>
          <w:tcPr>
            <w:tcW w:w="550" w:type="dxa"/>
            <w:tcBorders>
              <w:top w:val="nil"/>
              <w:left w:val="nil"/>
              <w:bottom w:val="nil"/>
              <w:right w:val="nil"/>
            </w:tcBorders>
            <w:shd w:val="clear" w:color="auto" w:fill="auto"/>
            <w:noWrap/>
            <w:vAlign w:val="center"/>
            <w:hideMark/>
          </w:tcPr>
          <w:p w14:paraId="247715ED" w14:textId="77777777" w:rsidR="002B0BB0" w:rsidRPr="00582936" w:rsidRDefault="002B0BB0" w:rsidP="002B0BB0">
            <w:pPr>
              <w:jc w:val="center"/>
              <w:rPr>
                <w:rFonts w:ascii="Century Gothic" w:eastAsia="Times New Roman" w:hAnsi="Century Gothic" w:cs="Aparajita"/>
                <w:i/>
                <w:color w:val="6E6E7C"/>
                <w:sz w:val="21"/>
                <w:szCs w:val="21"/>
                <w:lang w:eastAsia="es-EC"/>
              </w:rPr>
            </w:pPr>
          </w:p>
        </w:tc>
        <w:tc>
          <w:tcPr>
            <w:tcW w:w="7797" w:type="dxa"/>
            <w:tcBorders>
              <w:top w:val="nil"/>
              <w:left w:val="nil"/>
              <w:bottom w:val="nil"/>
              <w:right w:val="nil"/>
            </w:tcBorders>
            <w:shd w:val="clear" w:color="auto" w:fill="auto"/>
            <w:noWrap/>
            <w:vAlign w:val="center"/>
            <w:hideMark/>
          </w:tcPr>
          <w:p w14:paraId="0790FA12"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Personal ocupado empresarial.</w:t>
            </w:r>
          </w:p>
        </w:tc>
      </w:tr>
      <w:tr w:rsidR="002B0BB0" w:rsidRPr="00582936" w14:paraId="2EF93C46" w14:textId="77777777" w:rsidTr="000F7A8B">
        <w:trPr>
          <w:trHeight w:val="281"/>
        </w:trPr>
        <w:tc>
          <w:tcPr>
            <w:tcW w:w="1166" w:type="dxa"/>
            <w:tcBorders>
              <w:top w:val="nil"/>
              <w:left w:val="nil"/>
              <w:bottom w:val="nil"/>
              <w:right w:val="nil"/>
            </w:tcBorders>
            <w:shd w:val="clear" w:color="auto" w:fill="auto"/>
            <w:noWrap/>
            <w:vAlign w:val="center"/>
            <w:hideMark/>
          </w:tcPr>
          <w:p w14:paraId="3813046B"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n:</w:t>
            </w:r>
          </w:p>
        </w:tc>
        <w:tc>
          <w:tcPr>
            <w:tcW w:w="550" w:type="dxa"/>
            <w:tcBorders>
              <w:top w:val="nil"/>
              <w:left w:val="nil"/>
              <w:bottom w:val="nil"/>
              <w:right w:val="nil"/>
            </w:tcBorders>
            <w:shd w:val="clear" w:color="auto" w:fill="auto"/>
            <w:noWrap/>
            <w:vAlign w:val="center"/>
            <w:hideMark/>
          </w:tcPr>
          <w:p w14:paraId="4C9D591B" w14:textId="77777777" w:rsidR="002B0BB0" w:rsidRPr="00582936" w:rsidRDefault="002B0BB0" w:rsidP="002B0BB0">
            <w:pPr>
              <w:jc w:val="center"/>
              <w:rPr>
                <w:rFonts w:ascii="Century Gothic" w:eastAsia="Times New Roman" w:hAnsi="Century Gothic" w:cs="Aparajita"/>
                <w:i/>
                <w:color w:val="6E6E7C"/>
                <w:sz w:val="21"/>
                <w:szCs w:val="21"/>
                <w:lang w:eastAsia="es-EC"/>
              </w:rPr>
            </w:pPr>
          </w:p>
        </w:tc>
        <w:tc>
          <w:tcPr>
            <w:tcW w:w="7797" w:type="dxa"/>
            <w:tcBorders>
              <w:top w:val="nil"/>
              <w:left w:val="nil"/>
              <w:bottom w:val="nil"/>
              <w:right w:val="nil"/>
            </w:tcBorders>
            <w:shd w:val="clear" w:color="auto" w:fill="auto"/>
            <w:noWrap/>
            <w:vAlign w:val="center"/>
            <w:hideMark/>
          </w:tcPr>
          <w:p w14:paraId="4B7051A6"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Grupo de ocupación máxima.</w:t>
            </w:r>
          </w:p>
        </w:tc>
      </w:tr>
      <w:tr w:rsidR="002B0BB0" w:rsidRPr="00582936" w14:paraId="74CA64F5" w14:textId="77777777" w:rsidTr="000F7A8B">
        <w:trPr>
          <w:trHeight w:val="281"/>
        </w:trPr>
        <w:tc>
          <w:tcPr>
            <w:tcW w:w="1166" w:type="dxa"/>
            <w:tcBorders>
              <w:top w:val="nil"/>
              <w:left w:val="nil"/>
              <w:bottom w:val="nil"/>
              <w:right w:val="nil"/>
            </w:tcBorders>
            <w:shd w:val="clear" w:color="auto" w:fill="auto"/>
            <w:noWrap/>
            <w:vAlign w:val="center"/>
            <w:hideMark/>
          </w:tcPr>
          <w:p w14:paraId="2A8A23A5"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10863F18"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i=1</w:t>
            </w:r>
          </w:p>
        </w:tc>
        <w:tc>
          <w:tcPr>
            <w:tcW w:w="7797" w:type="dxa"/>
            <w:tcBorders>
              <w:top w:val="nil"/>
              <w:left w:val="nil"/>
              <w:bottom w:val="nil"/>
              <w:right w:val="nil"/>
            </w:tcBorders>
            <w:shd w:val="clear" w:color="auto" w:fill="auto"/>
            <w:noWrap/>
            <w:vAlign w:val="center"/>
            <w:hideMark/>
          </w:tcPr>
          <w:p w14:paraId="092F4082"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Directores y Gerentes. </w:t>
            </w:r>
          </w:p>
        </w:tc>
      </w:tr>
      <w:tr w:rsidR="002B0BB0" w:rsidRPr="00582936" w14:paraId="1EF5BDAF" w14:textId="77777777" w:rsidTr="000F7A8B">
        <w:trPr>
          <w:trHeight w:val="281"/>
        </w:trPr>
        <w:tc>
          <w:tcPr>
            <w:tcW w:w="1166" w:type="dxa"/>
            <w:tcBorders>
              <w:top w:val="nil"/>
              <w:left w:val="nil"/>
              <w:bottom w:val="nil"/>
              <w:right w:val="nil"/>
            </w:tcBorders>
            <w:shd w:val="clear" w:color="auto" w:fill="auto"/>
            <w:noWrap/>
            <w:vAlign w:val="center"/>
            <w:hideMark/>
          </w:tcPr>
          <w:p w14:paraId="139011E1"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190A966B"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i=2</w:t>
            </w:r>
          </w:p>
        </w:tc>
        <w:tc>
          <w:tcPr>
            <w:tcW w:w="7797" w:type="dxa"/>
            <w:tcBorders>
              <w:top w:val="nil"/>
              <w:left w:val="nil"/>
              <w:bottom w:val="nil"/>
              <w:right w:val="nil"/>
            </w:tcBorders>
            <w:shd w:val="clear" w:color="auto" w:fill="auto"/>
            <w:noWrap/>
            <w:vAlign w:val="center"/>
            <w:hideMark/>
          </w:tcPr>
          <w:p w14:paraId="46394AC2"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Profesionales Científicos e Intelectuales.</w:t>
            </w:r>
          </w:p>
        </w:tc>
      </w:tr>
      <w:tr w:rsidR="002B0BB0" w:rsidRPr="00582936" w14:paraId="182991EA" w14:textId="77777777" w:rsidTr="000F7A8B">
        <w:trPr>
          <w:trHeight w:val="281"/>
        </w:trPr>
        <w:tc>
          <w:tcPr>
            <w:tcW w:w="1166" w:type="dxa"/>
            <w:tcBorders>
              <w:top w:val="nil"/>
              <w:left w:val="nil"/>
              <w:bottom w:val="nil"/>
              <w:right w:val="nil"/>
            </w:tcBorders>
            <w:shd w:val="clear" w:color="auto" w:fill="auto"/>
            <w:noWrap/>
            <w:vAlign w:val="center"/>
            <w:hideMark/>
          </w:tcPr>
          <w:p w14:paraId="547AA7CF"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008483C0"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i=3</w:t>
            </w:r>
          </w:p>
        </w:tc>
        <w:tc>
          <w:tcPr>
            <w:tcW w:w="7797" w:type="dxa"/>
            <w:tcBorders>
              <w:top w:val="nil"/>
              <w:left w:val="nil"/>
              <w:bottom w:val="nil"/>
              <w:right w:val="nil"/>
            </w:tcBorders>
            <w:shd w:val="clear" w:color="auto" w:fill="auto"/>
            <w:noWrap/>
            <w:vAlign w:val="center"/>
            <w:hideMark/>
          </w:tcPr>
          <w:p w14:paraId="76BEFE2A"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Técnicos y Profesionales de Nivel Medio.</w:t>
            </w:r>
          </w:p>
        </w:tc>
      </w:tr>
      <w:tr w:rsidR="002B0BB0" w:rsidRPr="00582936" w14:paraId="348425C1" w14:textId="77777777" w:rsidTr="000F7A8B">
        <w:trPr>
          <w:trHeight w:val="281"/>
        </w:trPr>
        <w:tc>
          <w:tcPr>
            <w:tcW w:w="1166" w:type="dxa"/>
            <w:tcBorders>
              <w:top w:val="nil"/>
              <w:left w:val="nil"/>
              <w:bottom w:val="nil"/>
              <w:right w:val="nil"/>
            </w:tcBorders>
            <w:shd w:val="clear" w:color="auto" w:fill="auto"/>
            <w:noWrap/>
            <w:vAlign w:val="center"/>
            <w:hideMark/>
          </w:tcPr>
          <w:p w14:paraId="0DCF7861"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6B49E7D2"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i=4</w:t>
            </w:r>
          </w:p>
        </w:tc>
        <w:tc>
          <w:tcPr>
            <w:tcW w:w="7797" w:type="dxa"/>
            <w:tcBorders>
              <w:top w:val="nil"/>
              <w:left w:val="nil"/>
              <w:bottom w:val="nil"/>
              <w:right w:val="nil"/>
            </w:tcBorders>
            <w:shd w:val="clear" w:color="auto" w:fill="auto"/>
            <w:noWrap/>
            <w:vAlign w:val="center"/>
            <w:hideMark/>
          </w:tcPr>
          <w:p w14:paraId="0D4F412D"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Personal de Apoyo Administrativo / Empleados de Oficina.</w:t>
            </w:r>
          </w:p>
        </w:tc>
      </w:tr>
      <w:tr w:rsidR="002B0BB0" w:rsidRPr="00582936" w14:paraId="1A3CBCE0" w14:textId="77777777" w:rsidTr="000F7A8B">
        <w:trPr>
          <w:trHeight w:val="281"/>
        </w:trPr>
        <w:tc>
          <w:tcPr>
            <w:tcW w:w="1166" w:type="dxa"/>
            <w:tcBorders>
              <w:top w:val="nil"/>
              <w:left w:val="nil"/>
              <w:bottom w:val="nil"/>
              <w:right w:val="nil"/>
            </w:tcBorders>
            <w:shd w:val="clear" w:color="auto" w:fill="auto"/>
            <w:noWrap/>
            <w:vAlign w:val="center"/>
            <w:hideMark/>
          </w:tcPr>
          <w:p w14:paraId="4CA91EC0"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0F0D8A17"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i=5</w:t>
            </w:r>
          </w:p>
        </w:tc>
        <w:tc>
          <w:tcPr>
            <w:tcW w:w="7797" w:type="dxa"/>
            <w:tcBorders>
              <w:top w:val="nil"/>
              <w:left w:val="nil"/>
              <w:bottom w:val="nil"/>
              <w:right w:val="nil"/>
            </w:tcBorders>
            <w:shd w:val="clear" w:color="auto" w:fill="auto"/>
            <w:noWrap/>
            <w:vAlign w:val="center"/>
            <w:hideMark/>
          </w:tcPr>
          <w:p w14:paraId="15773BC5"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Trabajadores de los Servicios y Vendedores de Comercio y Mercados.</w:t>
            </w:r>
          </w:p>
        </w:tc>
      </w:tr>
      <w:tr w:rsidR="002B0BB0" w:rsidRPr="00582936" w14:paraId="34FFCD43" w14:textId="77777777" w:rsidTr="000F7A8B">
        <w:trPr>
          <w:trHeight w:val="220"/>
        </w:trPr>
        <w:tc>
          <w:tcPr>
            <w:tcW w:w="1166" w:type="dxa"/>
            <w:tcBorders>
              <w:top w:val="nil"/>
              <w:left w:val="nil"/>
              <w:bottom w:val="nil"/>
              <w:right w:val="nil"/>
            </w:tcBorders>
            <w:shd w:val="clear" w:color="auto" w:fill="auto"/>
            <w:noWrap/>
            <w:vAlign w:val="center"/>
            <w:hideMark/>
          </w:tcPr>
          <w:p w14:paraId="27269BB8"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0F309A1E"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i=6</w:t>
            </w:r>
          </w:p>
        </w:tc>
        <w:tc>
          <w:tcPr>
            <w:tcW w:w="7797" w:type="dxa"/>
            <w:tcBorders>
              <w:top w:val="nil"/>
              <w:left w:val="nil"/>
              <w:bottom w:val="nil"/>
              <w:right w:val="nil"/>
            </w:tcBorders>
            <w:shd w:val="clear" w:color="auto" w:fill="auto"/>
            <w:noWrap/>
            <w:vAlign w:val="center"/>
            <w:hideMark/>
          </w:tcPr>
          <w:p w14:paraId="5695342F"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Agricultores y Trabajadores calificados Agropecuarios Forestales, y Pesqueros.</w:t>
            </w:r>
          </w:p>
        </w:tc>
      </w:tr>
      <w:tr w:rsidR="002B0BB0" w:rsidRPr="00582936" w14:paraId="51AE4723" w14:textId="77777777" w:rsidTr="000F7A8B">
        <w:trPr>
          <w:trHeight w:val="281"/>
        </w:trPr>
        <w:tc>
          <w:tcPr>
            <w:tcW w:w="1166" w:type="dxa"/>
            <w:tcBorders>
              <w:top w:val="nil"/>
              <w:left w:val="nil"/>
              <w:bottom w:val="nil"/>
              <w:right w:val="nil"/>
            </w:tcBorders>
            <w:shd w:val="clear" w:color="auto" w:fill="auto"/>
            <w:noWrap/>
            <w:vAlign w:val="center"/>
            <w:hideMark/>
          </w:tcPr>
          <w:p w14:paraId="5472432E"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3E880C42"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i=7</w:t>
            </w:r>
          </w:p>
        </w:tc>
        <w:tc>
          <w:tcPr>
            <w:tcW w:w="7797" w:type="dxa"/>
            <w:tcBorders>
              <w:top w:val="nil"/>
              <w:left w:val="nil"/>
              <w:bottom w:val="nil"/>
              <w:right w:val="nil"/>
            </w:tcBorders>
            <w:shd w:val="clear" w:color="auto" w:fill="auto"/>
            <w:vAlign w:val="center"/>
            <w:hideMark/>
          </w:tcPr>
          <w:p w14:paraId="044B23EF"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Oficiales, Operarios y Artesanos de artes Mecánicas y de otros oficios.</w:t>
            </w:r>
          </w:p>
        </w:tc>
      </w:tr>
      <w:tr w:rsidR="002B0BB0" w:rsidRPr="00582936" w14:paraId="48D39FDD" w14:textId="77777777" w:rsidTr="000F7A8B">
        <w:trPr>
          <w:trHeight w:val="281"/>
        </w:trPr>
        <w:tc>
          <w:tcPr>
            <w:tcW w:w="1166" w:type="dxa"/>
            <w:tcBorders>
              <w:top w:val="nil"/>
              <w:left w:val="nil"/>
              <w:bottom w:val="nil"/>
              <w:right w:val="nil"/>
            </w:tcBorders>
            <w:shd w:val="clear" w:color="auto" w:fill="auto"/>
            <w:noWrap/>
            <w:vAlign w:val="center"/>
          </w:tcPr>
          <w:p w14:paraId="25EBF637" w14:textId="77777777" w:rsidR="002B0BB0" w:rsidRPr="00582936" w:rsidRDefault="002B0BB0" w:rsidP="002B0BB0">
            <w:pPr>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tcPr>
          <w:p w14:paraId="6851500E" w14:textId="77777777" w:rsidR="002B0BB0" w:rsidRPr="00582936" w:rsidRDefault="002B0BB0" w:rsidP="002B0BB0">
            <w:pPr>
              <w:jc w:val="center"/>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i=8</w:t>
            </w:r>
          </w:p>
        </w:tc>
        <w:tc>
          <w:tcPr>
            <w:tcW w:w="7797" w:type="dxa"/>
            <w:tcBorders>
              <w:top w:val="nil"/>
              <w:left w:val="nil"/>
              <w:bottom w:val="nil"/>
              <w:right w:val="nil"/>
            </w:tcBorders>
            <w:shd w:val="clear" w:color="auto" w:fill="auto"/>
            <w:vAlign w:val="center"/>
          </w:tcPr>
          <w:p w14:paraId="12790C25" w14:textId="77777777" w:rsidR="002B0BB0" w:rsidRPr="00582936" w:rsidRDefault="002B0BB0" w:rsidP="002B0BB0">
            <w:pPr>
              <w:jc w:val="both"/>
              <w:rPr>
                <w:rFonts w:ascii="Century Gothic" w:eastAsia="Times New Roman" w:hAnsi="Century Gothic" w:cs="Aparajita"/>
                <w:i/>
                <w:iCs/>
                <w:color w:val="6E6E7C"/>
                <w:sz w:val="21"/>
                <w:szCs w:val="21"/>
                <w:lang w:eastAsia="es-EC"/>
              </w:rPr>
            </w:pPr>
            <w:r w:rsidRPr="00582936">
              <w:rPr>
                <w:rFonts w:ascii="Century Gothic" w:eastAsia="Times New Roman" w:hAnsi="Century Gothic" w:cs="Aparajita"/>
                <w:i/>
                <w:iCs/>
                <w:color w:val="6E6E7C"/>
                <w:sz w:val="21"/>
                <w:szCs w:val="21"/>
                <w:lang w:eastAsia="es-EC"/>
              </w:rPr>
              <w:t>Operadores de Instalaciones y Máquinas y Ensambladores.</w:t>
            </w:r>
          </w:p>
        </w:tc>
      </w:tr>
      <w:tr w:rsidR="002B0BB0" w:rsidRPr="00582936" w14:paraId="48C4BBC7" w14:textId="77777777" w:rsidTr="000F7A8B">
        <w:trPr>
          <w:trHeight w:val="281"/>
        </w:trPr>
        <w:tc>
          <w:tcPr>
            <w:tcW w:w="1166" w:type="dxa"/>
            <w:tcBorders>
              <w:top w:val="nil"/>
              <w:left w:val="nil"/>
              <w:bottom w:val="nil"/>
              <w:right w:val="nil"/>
            </w:tcBorders>
            <w:shd w:val="clear" w:color="auto" w:fill="auto"/>
            <w:noWrap/>
            <w:vAlign w:val="center"/>
            <w:hideMark/>
          </w:tcPr>
          <w:p w14:paraId="79A8B281" w14:textId="77777777" w:rsidR="002B0BB0" w:rsidRPr="00582936" w:rsidRDefault="002B0BB0" w:rsidP="002B0BB0">
            <w:pP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Si</w:t>
            </w:r>
          </w:p>
        </w:tc>
        <w:tc>
          <w:tcPr>
            <w:tcW w:w="550" w:type="dxa"/>
            <w:tcBorders>
              <w:top w:val="nil"/>
              <w:left w:val="nil"/>
              <w:bottom w:val="nil"/>
              <w:right w:val="nil"/>
            </w:tcBorders>
            <w:shd w:val="clear" w:color="auto" w:fill="auto"/>
            <w:noWrap/>
            <w:vAlign w:val="center"/>
            <w:hideMark/>
          </w:tcPr>
          <w:p w14:paraId="57D4FB2B" w14:textId="77777777" w:rsidR="002B0BB0" w:rsidRPr="00582936" w:rsidRDefault="002B0BB0" w:rsidP="002B0BB0">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i=9</w:t>
            </w:r>
          </w:p>
        </w:tc>
        <w:tc>
          <w:tcPr>
            <w:tcW w:w="7797" w:type="dxa"/>
            <w:tcBorders>
              <w:top w:val="nil"/>
              <w:left w:val="nil"/>
              <w:bottom w:val="nil"/>
              <w:right w:val="nil"/>
            </w:tcBorders>
            <w:shd w:val="clear" w:color="auto" w:fill="auto"/>
            <w:noWrap/>
            <w:vAlign w:val="center"/>
            <w:hideMark/>
          </w:tcPr>
          <w:p w14:paraId="20B487A6" w14:textId="77777777" w:rsidR="002B0BB0" w:rsidRPr="00582936" w:rsidRDefault="002B0BB0" w:rsidP="002B0BB0">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 xml:space="preserve"> Trabajadores no calificados, Ocupaciones Elementales.</w:t>
            </w:r>
          </w:p>
        </w:tc>
      </w:tr>
    </w:tbl>
    <w:p w14:paraId="4FC7BF41" w14:textId="77777777" w:rsidR="002022CC" w:rsidRDefault="002022CC" w:rsidP="002B0BB0">
      <w:pPr>
        <w:spacing w:after="200" w:line="276" w:lineRule="auto"/>
        <w:jc w:val="both"/>
        <w:rPr>
          <w:rFonts w:ascii="Century Gothic" w:eastAsia="Calibri" w:hAnsi="Century Gothic" w:cs="Calibri"/>
          <w:b/>
          <w:iCs/>
          <w:color w:val="6E6E7C"/>
          <w:sz w:val="21"/>
          <w:szCs w:val="21"/>
        </w:rPr>
      </w:pPr>
    </w:p>
    <w:p w14:paraId="3518F398" w14:textId="77777777" w:rsidR="002B0BB0" w:rsidRPr="00582936" w:rsidRDefault="002B0BB0" w:rsidP="002B0BB0">
      <w:pPr>
        <w:spacing w:after="200" w:line="276" w:lineRule="auto"/>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lastRenderedPageBreak/>
        <w:t>Formación bruta de capital fijo empresarial</w:t>
      </w:r>
    </w:p>
    <w:tbl>
      <w:tblPr>
        <w:tblpPr w:leftFromText="141" w:rightFromText="141" w:vertAnchor="text" w:horzAnchor="margin" w:tblpY="317"/>
        <w:tblW w:w="9454" w:type="dxa"/>
        <w:tblCellMar>
          <w:left w:w="70" w:type="dxa"/>
          <w:right w:w="70" w:type="dxa"/>
        </w:tblCellMar>
        <w:tblLook w:val="04A0" w:firstRow="1" w:lastRow="0" w:firstColumn="1" w:lastColumn="0" w:noHBand="0" w:noVBand="1"/>
      </w:tblPr>
      <w:tblGrid>
        <w:gridCol w:w="2157"/>
        <w:gridCol w:w="1309"/>
        <w:gridCol w:w="5988"/>
      </w:tblGrid>
      <w:tr w:rsidR="00E12A6A" w:rsidRPr="00582936" w14:paraId="0FD61436" w14:textId="77777777" w:rsidTr="00E12A6A">
        <w:trPr>
          <w:trHeight w:val="133"/>
        </w:trPr>
        <w:tc>
          <w:tcPr>
            <w:tcW w:w="2157" w:type="dxa"/>
            <w:tcBorders>
              <w:top w:val="nil"/>
              <w:left w:val="nil"/>
              <w:bottom w:val="nil"/>
              <w:right w:val="nil"/>
            </w:tcBorders>
            <w:shd w:val="clear" w:color="auto" w:fill="auto"/>
            <w:noWrap/>
            <w:vAlign w:val="center"/>
            <w:hideMark/>
          </w:tcPr>
          <w:p w14:paraId="710623EC" w14:textId="77777777" w:rsidR="00E12A6A" w:rsidRPr="00582936" w:rsidRDefault="00E12A6A" w:rsidP="00E12A6A">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color w:val="6E6E7C"/>
                <w:sz w:val="21"/>
                <w:szCs w:val="21"/>
                <w:lang w:eastAsia="es-EC"/>
              </w:rPr>
              <w:t>fbkf_1</w:t>
            </w:r>
          </w:p>
        </w:tc>
        <w:tc>
          <w:tcPr>
            <w:tcW w:w="1309" w:type="dxa"/>
            <w:tcBorders>
              <w:top w:val="nil"/>
              <w:left w:val="nil"/>
              <w:bottom w:val="nil"/>
              <w:right w:val="nil"/>
            </w:tcBorders>
            <w:shd w:val="clear" w:color="auto" w:fill="auto"/>
            <w:noWrap/>
            <w:vAlign w:val="center"/>
            <w:hideMark/>
          </w:tcPr>
          <w:p w14:paraId="139D07E7" w14:textId="77777777" w:rsidR="00E12A6A" w:rsidRPr="00582936" w:rsidRDefault="00E12A6A" w:rsidP="00E12A6A">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988" w:type="dxa"/>
            <w:tcBorders>
              <w:top w:val="nil"/>
              <w:left w:val="nil"/>
              <w:bottom w:val="nil"/>
              <w:right w:val="nil"/>
            </w:tcBorders>
            <w:shd w:val="clear" w:color="auto" w:fill="auto"/>
            <w:noWrap/>
            <w:vAlign w:val="center"/>
            <w:hideMark/>
          </w:tcPr>
          <w:p w14:paraId="0A44E371" w14:textId="77777777" w:rsidR="00E12A6A" w:rsidRPr="00582936" w:rsidRDefault="00E12A6A" w:rsidP="00E12A6A">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Formación bruta de capital fijo empresarial.</w:t>
            </w:r>
          </w:p>
        </w:tc>
      </w:tr>
      <w:tr w:rsidR="00E12A6A" w:rsidRPr="00582936" w14:paraId="7828BBC9" w14:textId="77777777" w:rsidTr="00E12A6A">
        <w:trPr>
          <w:trHeight w:val="133"/>
        </w:trPr>
        <w:tc>
          <w:tcPr>
            <w:tcW w:w="2157" w:type="dxa"/>
            <w:tcBorders>
              <w:top w:val="nil"/>
              <w:left w:val="nil"/>
              <w:bottom w:val="nil"/>
              <w:right w:val="nil"/>
            </w:tcBorders>
            <w:shd w:val="clear" w:color="auto" w:fill="auto"/>
            <w:noWrap/>
            <w:vAlign w:val="center"/>
            <w:hideMark/>
          </w:tcPr>
          <w:p w14:paraId="22D20AE6" w14:textId="77777777" w:rsidR="00E12A6A" w:rsidRPr="00582936" w:rsidRDefault="00E12A6A" w:rsidP="00E12A6A">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totadquisi</w:t>
            </w:r>
            <w:proofErr w:type="spellEnd"/>
          </w:p>
        </w:tc>
        <w:tc>
          <w:tcPr>
            <w:tcW w:w="1309" w:type="dxa"/>
            <w:tcBorders>
              <w:top w:val="nil"/>
              <w:left w:val="nil"/>
              <w:bottom w:val="nil"/>
              <w:right w:val="nil"/>
            </w:tcBorders>
            <w:shd w:val="clear" w:color="auto" w:fill="auto"/>
            <w:noWrap/>
            <w:vAlign w:val="center"/>
            <w:hideMark/>
          </w:tcPr>
          <w:p w14:paraId="6EF8E4A1" w14:textId="77777777" w:rsidR="00E12A6A" w:rsidRPr="00582936" w:rsidRDefault="00E12A6A" w:rsidP="00E12A6A">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988" w:type="dxa"/>
            <w:tcBorders>
              <w:top w:val="nil"/>
              <w:left w:val="nil"/>
              <w:bottom w:val="nil"/>
              <w:right w:val="nil"/>
            </w:tcBorders>
            <w:shd w:val="clear" w:color="auto" w:fill="auto"/>
            <w:noWrap/>
            <w:vAlign w:val="center"/>
            <w:hideMark/>
          </w:tcPr>
          <w:p w14:paraId="5D67F4D7" w14:textId="77777777" w:rsidR="00E12A6A" w:rsidRPr="00582936" w:rsidRDefault="00E12A6A" w:rsidP="00E12A6A">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Adquisición de activos fijos nuevos y usados.</w:t>
            </w:r>
          </w:p>
        </w:tc>
      </w:tr>
      <w:tr w:rsidR="00E12A6A" w:rsidRPr="00582936" w14:paraId="0706D60E" w14:textId="77777777" w:rsidTr="00E12A6A">
        <w:trPr>
          <w:trHeight w:val="48"/>
        </w:trPr>
        <w:tc>
          <w:tcPr>
            <w:tcW w:w="2157" w:type="dxa"/>
            <w:tcBorders>
              <w:top w:val="nil"/>
              <w:left w:val="nil"/>
              <w:bottom w:val="nil"/>
              <w:right w:val="nil"/>
            </w:tcBorders>
            <w:shd w:val="clear" w:color="auto" w:fill="auto"/>
            <w:noWrap/>
            <w:vAlign w:val="center"/>
            <w:hideMark/>
          </w:tcPr>
          <w:p w14:paraId="4DB90C7F" w14:textId="77777777" w:rsidR="00E12A6A" w:rsidRPr="00582936" w:rsidRDefault="00E12A6A" w:rsidP="00E12A6A">
            <w:pPr>
              <w:jc w:val="both"/>
              <w:rPr>
                <w:rFonts w:ascii="Century Gothic" w:eastAsia="Times New Roman" w:hAnsi="Century Gothic" w:cs="Aparajita"/>
                <w:i/>
                <w:color w:val="6E6E7C"/>
                <w:sz w:val="21"/>
                <w:szCs w:val="21"/>
                <w:lang w:eastAsia="es-EC"/>
              </w:rPr>
            </w:pPr>
            <w:proofErr w:type="spellStart"/>
            <w:r w:rsidRPr="00582936">
              <w:rPr>
                <w:rFonts w:ascii="Century Gothic" w:eastAsia="Times New Roman" w:hAnsi="Century Gothic" w:cs="Aparajita"/>
                <w:i/>
                <w:iCs/>
                <w:color w:val="6E6E7C"/>
                <w:sz w:val="21"/>
                <w:szCs w:val="21"/>
                <w:lang w:eastAsia="es-EC"/>
              </w:rPr>
              <w:t>totdispos</w:t>
            </w:r>
            <w:proofErr w:type="spellEnd"/>
          </w:p>
        </w:tc>
        <w:tc>
          <w:tcPr>
            <w:tcW w:w="1309" w:type="dxa"/>
            <w:tcBorders>
              <w:top w:val="nil"/>
              <w:left w:val="nil"/>
              <w:bottom w:val="nil"/>
              <w:right w:val="nil"/>
            </w:tcBorders>
            <w:shd w:val="clear" w:color="auto" w:fill="auto"/>
            <w:noWrap/>
            <w:vAlign w:val="center"/>
            <w:hideMark/>
          </w:tcPr>
          <w:p w14:paraId="4F21555A" w14:textId="77777777" w:rsidR="00E12A6A" w:rsidRPr="00582936" w:rsidRDefault="00E12A6A" w:rsidP="00E12A6A">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988" w:type="dxa"/>
            <w:tcBorders>
              <w:top w:val="nil"/>
              <w:left w:val="nil"/>
              <w:bottom w:val="nil"/>
              <w:right w:val="nil"/>
            </w:tcBorders>
            <w:shd w:val="clear" w:color="auto" w:fill="auto"/>
            <w:noWrap/>
            <w:vAlign w:val="center"/>
            <w:hideMark/>
          </w:tcPr>
          <w:p w14:paraId="4CD44924" w14:textId="77777777" w:rsidR="00E12A6A" w:rsidRPr="00582936" w:rsidRDefault="00E12A6A" w:rsidP="00E12A6A">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Disposición de activos fijos nuevos y usados.</w:t>
            </w:r>
          </w:p>
        </w:tc>
      </w:tr>
      <w:tr w:rsidR="00E12A6A" w:rsidRPr="00582936" w14:paraId="1BE528ED" w14:textId="77777777" w:rsidTr="00E12A6A">
        <w:trPr>
          <w:trHeight w:val="199"/>
        </w:trPr>
        <w:tc>
          <w:tcPr>
            <w:tcW w:w="2157" w:type="dxa"/>
            <w:tcBorders>
              <w:top w:val="nil"/>
              <w:left w:val="nil"/>
              <w:bottom w:val="nil"/>
              <w:right w:val="nil"/>
            </w:tcBorders>
            <w:shd w:val="clear" w:color="auto" w:fill="auto"/>
            <w:noWrap/>
            <w:vAlign w:val="center"/>
            <w:hideMark/>
          </w:tcPr>
          <w:p w14:paraId="5AADF8ED" w14:textId="26C6E5E7" w:rsidR="00E12A6A" w:rsidRPr="00582936" w:rsidRDefault="00E12A6A" w:rsidP="00E12A6A">
            <w:pPr>
              <w:jc w:val="both"/>
              <w:rPr>
                <w:rFonts w:ascii="Century Gothic" w:eastAsia="Times New Roman" w:hAnsi="Century Gothic" w:cs="Aparajita"/>
                <w:i/>
                <w:color w:val="6E6E7C"/>
                <w:sz w:val="21"/>
                <w:szCs w:val="21"/>
                <w:lang w:val="en-US" w:eastAsia="es-EC"/>
              </w:rPr>
            </w:pPr>
            <w:proofErr w:type="spellStart"/>
            <w:r w:rsidRPr="00582936">
              <w:rPr>
                <w:rFonts w:ascii="Century Gothic" w:eastAsia="Times New Roman" w:hAnsi="Century Gothic" w:cs="Aparajita"/>
                <w:i/>
                <w:iCs/>
                <w:color w:val="6E6E7C"/>
                <w:sz w:val="21"/>
                <w:szCs w:val="21"/>
                <w:lang w:val="en-US" w:eastAsia="es-EC"/>
              </w:rPr>
              <w:t>Tcaf</w:t>
            </w:r>
            <w:proofErr w:type="spellEnd"/>
          </w:p>
        </w:tc>
        <w:tc>
          <w:tcPr>
            <w:tcW w:w="1309" w:type="dxa"/>
            <w:tcBorders>
              <w:top w:val="nil"/>
              <w:left w:val="nil"/>
              <w:bottom w:val="nil"/>
              <w:right w:val="nil"/>
            </w:tcBorders>
            <w:shd w:val="clear" w:color="auto" w:fill="auto"/>
            <w:noWrap/>
            <w:vAlign w:val="center"/>
            <w:hideMark/>
          </w:tcPr>
          <w:p w14:paraId="5F337842" w14:textId="77777777" w:rsidR="00E12A6A" w:rsidRPr="00582936" w:rsidRDefault="00E12A6A" w:rsidP="00E12A6A">
            <w:pPr>
              <w:jc w:val="center"/>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w:t>
            </w:r>
          </w:p>
        </w:tc>
        <w:tc>
          <w:tcPr>
            <w:tcW w:w="5988" w:type="dxa"/>
            <w:tcBorders>
              <w:top w:val="nil"/>
              <w:left w:val="nil"/>
              <w:bottom w:val="nil"/>
              <w:right w:val="nil"/>
            </w:tcBorders>
            <w:shd w:val="clear" w:color="auto" w:fill="auto"/>
            <w:noWrap/>
            <w:vAlign w:val="center"/>
            <w:hideMark/>
          </w:tcPr>
          <w:p w14:paraId="549965D9" w14:textId="77777777" w:rsidR="00E12A6A" w:rsidRPr="00582936" w:rsidRDefault="00E12A6A" w:rsidP="00E12A6A">
            <w:pPr>
              <w:jc w:val="both"/>
              <w:rPr>
                <w:rFonts w:ascii="Century Gothic" w:eastAsia="Times New Roman" w:hAnsi="Century Gothic" w:cs="Aparajita"/>
                <w:i/>
                <w:color w:val="6E6E7C"/>
                <w:sz w:val="21"/>
                <w:szCs w:val="21"/>
                <w:lang w:eastAsia="es-EC"/>
              </w:rPr>
            </w:pPr>
            <w:r w:rsidRPr="00582936">
              <w:rPr>
                <w:rFonts w:ascii="Century Gothic" w:eastAsia="Times New Roman" w:hAnsi="Century Gothic" w:cs="Aparajita"/>
                <w:i/>
                <w:iCs/>
                <w:color w:val="6E6E7C"/>
                <w:sz w:val="21"/>
                <w:szCs w:val="21"/>
                <w:lang w:eastAsia="es-EC"/>
              </w:rPr>
              <w:t>Total construcciones de activos fijos por cuenta propia</w:t>
            </w:r>
            <w:r w:rsidRPr="00582936">
              <w:rPr>
                <w:rFonts w:ascii="Century Gothic" w:eastAsia="Times New Roman" w:hAnsi="Century Gothic" w:cs="Aparajita"/>
                <w:i/>
                <w:color w:val="6E6E7C"/>
                <w:sz w:val="21"/>
                <w:szCs w:val="21"/>
                <w:lang w:eastAsia="es-EC"/>
              </w:rPr>
              <w:t xml:space="preserve"> </w:t>
            </w:r>
          </w:p>
        </w:tc>
      </w:tr>
    </w:tbl>
    <w:p w14:paraId="1945D3FB" w14:textId="77777777" w:rsidR="002B0BB0" w:rsidRPr="00582936" w:rsidRDefault="002B0BB0" w:rsidP="002B0BB0">
      <w:pPr>
        <w:spacing w:after="240" w:line="276" w:lineRule="auto"/>
        <w:jc w:val="both"/>
        <w:rPr>
          <w:rFonts w:ascii="Century Gothic" w:eastAsia="Calibri" w:hAnsi="Century Gothic" w:cs="Times New Roman"/>
          <w:b/>
          <w:iCs/>
          <w:color w:val="6E6E7C"/>
          <w:sz w:val="21"/>
          <w:szCs w:val="21"/>
          <w:lang w:val="es-ES"/>
        </w:rPr>
      </w:pPr>
      <m:oMathPara>
        <m:oMath>
          <m:r>
            <m:rPr>
              <m:sty m:val="bi"/>
            </m:rPr>
            <w:rPr>
              <w:rFonts w:ascii="Cambria Math" w:eastAsia="Calibri" w:hAnsi="Cambria Math" w:cs="Calibri"/>
              <w:color w:val="6E6E7C"/>
              <w:sz w:val="21"/>
              <w:szCs w:val="21"/>
            </w:rPr>
            <m:t>fbkf_1=totadquisi-totdispos+tcaf</m:t>
          </m:r>
        </m:oMath>
      </m:oMathPara>
    </w:p>
    <w:bookmarkEnd w:id="354"/>
    <w:p w14:paraId="1D1320FC" w14:textId="11453C14" w:rsidR="002B0BB0" w:rsidRPr="00E12A6A" w:rsidRDefault="002B0BB0" w:rsidP="002B0BB0">
      <w:pPr>
        <w:spacing w:line="276" w:lineRule="auto"/>
        <w:jc w:val="both"/>
        <w:rPr>
          <w:rFonts w:ascii="Century Gothic" w:eastAsia="Calibri" w:hAnsi="Century Gothic" w:cs="Calibri"/>
          <w:b/>
          <w:iCs/>
          <w:color w:val="6E6E7C"/>
          <w:sz w:val="12"/>
          <w:szCs w:val="21"/>
        </w:rPr>
      </w:pPr>
    </w:p>
    <w:p w14:paraId="01E51827"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355" w:name="_Toc148617361"/>
      <w:bookmarkStart w:id="356" w:name="_Toc161322579"/>
      <w:r w:rsidRPr="00D27640">
        <w:rPr>
          <w:rFonts w:eastAsiaTheme="minorHAnsi" w:cstheme="minorBidi"/>
          <w:bCs/>
          <w:color w:val="6E6E7C"/>
          <w:sz w:val="28"/>
          <w:szCs w:val="44"/>
        </w:rPr>
        <w:t>Indicadores</w:t>
      </w:r>
      <w:bookmarkEnd w:id="355"/>
      <w:bookmarkEnd w:id="356"/>
      <w:r w:rsidRPr="00D27640">
        <w:rPr>
          <w:rFonts w:eastAsiaTheme="minorHAnsi" w:cstheme="minorBidi"/>
          <w:bCs/>
          <w:color w:val="6E6E7C"/>
          <w:sz w:val="28"/>
          <w:szCs w:val="44"/>
        </w:rPr>
        <w:t xml:space="preserve"> </w:t>
      </w:r>
    </w:p>
    <w:p w14:paraId="4CDC30E9" w14:textId="77777777" w:rsidR="0085217B" w:rsidRDefault="000F7A8B" w:rsidP="00430FE6">
      <w:pPr>
        <w:spacing w:before="240"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En este apartado se describe los indicadores elaborados a partir de los resultados de la ENESEM 2022, los cuales sintetizan y caracterizan fenómenos empresariales y productivos relevantes, que facilitan los ejercicios analíticos o comparativos.</w:t>
      </w:r>
      <w:bookmarkStart w:id="357" w:name="_Toc128467612"/>
      <w:bookmarkStart w:id="358" w:name="_Toc130899610"/>
      <w:bookmarkStart w:id="359" w:name="_Toc157006152"/>
      <w:bookmarkStart w:id="360" w:name="_Toc157006977"/>
      <w:bookmarkStart w:id="361" w:name="_Toc157368493"/>
    </w:p>
    <w:p w14:paraId="364D42F3" w14:textId="77777777" w:rsidR="00D71F99" w:rsidRPr="002E0E8E" w:rsidRDefault="002E0E8E" w:rsidP="00430FE6">
      <w:pPr>
        <w:spacing w:before="240" w:after="200" w:line="276" w:lineRule="auto"/>
        <w:jc w:val="both"/>
        <w:rPr>
          <w:rFonts w:ascii="Century Gothic" w:hAnsi="Century Gothic" w:cs="Calibri"/>
          <w:b/>
          <w:iCs/>
          <w:color w:val="6E6E7C"/>
          <w:sz w:val="22"/>
          <w:szCs w:val="20"/>
        </w:rPr>
      </w:pPr>
      <w:r w:rsidRPr="002E0E8E">
        <w:rPr>
          <w:rFonts w:ascii="Century Gothic" w:hAnsi="Century Gothic" w:cs="Calibri"/>
          <w:b/>
          <w:iCs/>
          <w:color w:val="6E6E7C"/>
          <w:sz w:val="22"/>
          <w:szCs w:val="20"/>
        </w:rPr>
        <w:t>Producción empresarial por persona ocupada</w:t>
      </w:r>
    </w:p>
    <w:p w14:paraId="4D0E28C3" w14:textId="77777777" w:rsidR="002E0E8E" w:rsidRPr="002E0E8E" w:rsidRDefault="002E0E8E" w:rsidP="002E0E8E">
      <w:pPr>
        <w:spacing w:after="200" w:line="276" w:lineRule="auto"/>
        <w:jc w:val="center"/>
        <w:rPr>
          <w:rFonts w:ascii="Century Gothic" w:eastAsia="Times New Roman" w:hAnsi="Century Gothic" w:cs="Aparajita"/>
          <w:i/>
          <w:iCs/>
          <w:color w:val="6E6E7C"/>
          <w:sz w:val="20"/>
          <w:szCs w:val="20"/>
          <w:lang w:eastAsia="es-EC"/>
        </w:rPr>
      </w:pPr>
      <m:oMathPara>
        <m:oMath>
          <m:r>
            <w:rPr>
              <w:rFonts w:ascii="Cambria Math" w:eastAsia="Cambria Math" w:hAnsi="Cambria Math" w:cs="Cambria Math"/>
              <w:color w:val="6E6E7C"/>
              <w:sz w:val="20"/>
              <w:szCs w:val="20"/>
              <w:lang w:eastAsia="es-EC"/>
            </w:rPr>
            <m:t xml:space="preserve">Prodpo = </m:t>
          </m:r>
          <m:f>
            <m:fPr>
              <m:ctrlPr>
                <w:rPr>
                  <w:rFonts w:ascii="Cambria Math" w:eastAsia="Cambria Math" w:hAnsi="Cambria Math" w:cs="Cambria Math"/>
                  <w:i/>
                  <w:iCs/>
                  <w:color w:val="6E6E7C"/>
                  <w:sz w:val="20"/>
                  <w:szCs w:val="20"/>
                  <w:lang w:eastAsia="es-EC"/>
                </w:rPr>
              </m:ctrlPr>
            </m:fPr>
            <m:num>
              <m:r>
                <w:rPr>
                  <w:rFonts w:ascii="Cambria Math" w:eastAsia="Cambria Math" w:hAnsi="Cambria Math" w:cs="Cambria Math"/>
                  <w:color w:val="6E6E7C"/>
                  <w:sz w:val="20"/>
                  <w:szCs w:val="20"/>
                  <w:lang w:eastAsia="es-EC"/>
                </w:rPr>
                <m:t>prodtota</m:t>
              </m:r>
            </m:num>
            <m:den>
              <m:r>
                <w:rPr>
                  <w:rFonts w:ascii="Cambria Math" w:eastAsia="Cambria Math" w:hAnsi="Cambria Math" w:cs="Cambria Math"/>
                  <w:color w:val="6E6E7C"/>
                  <w:sz w:val="20"/>
                  <w:szCs w:val="20"/>
                  <w:lang w:eastAsia="es-EC"/>
                </w:rPr>
                <m:t>totalpeoc</m:t>
              </m:r>
            </m:den>
          </m:f>
        </m:oMath>
      </m:oMathPara>
    </w:p>
    <w:p w14:paraId="333E9B6E" w14:textId="77777777" w:rsidR="002E0E8E" w:rsidRPr="002E0E8E" w:rsidRDefault="002E0E8E" w:rsidP="002E0E8E">
      <w:pPr>
        <w:widowControl w:val="0"/>
        <w:tabs>
          <w:tab w:val="left" w:pos="1950"/>
        </w:tabs>
        <w:spacing w:line="276" w:lineRule="auto"/>
        <w:jc w:val="both"/>
        <w:rPr>
          <w:rFonts w:ascii="Century Gothic" w:eastAsia="Times New Roman" w:hAnsi="Century Gothic" w:cs="Aparajita"/>
          <w:i/>
          <w:iCs/>
          <w:color w:val="6E6E7C"/>
          <w:sz w:val="20"/>
          <w:szCs w:val="20"/>
          <w:lang w:eastAsia="es-EC"/>
        </w:rPr>
      </w:pPr>
      <w:proofErr w:type="spellStart"/>
      <w:r w:rsidRPr="002E0E8E">
        <w:rPr>
          <w:rFonts w:ascii="Century Gothic" w:eastAsia="Times New Roman" w:hAnsi="Century Gothic" w:cs="Aparajita"/>
          <w:i/>
          <w:iCs/>
          <w:color w:val="6E6E7C"/>
          <w:sz w:val="20"/>
          <w:szCs w:val="20"/>
          <w:lang w:eastAsia="es-EC"/>
        </w:rPr>
        <w:t>Prodpo</w:t>
      </w:r>
      <w:proofErr w:type="spellEnd"/>
      <w:r w:rsidRPr="002E0E8E">
        <w:rPr>
          <w:rFonts w:ascii="Century Gothic" w:eastAsia="Times New Roman" w:hAnsi="Century Gothic" w:cs="Aparajita"/>
          <w:i/>
          <w:iCs/>
          <w:color w:val="6E6E7C"/>
          <w:sz w:val="20"/>
          <w:szCs w:val="20"/>
          <w:lang w:eastAsia="es-EC"/>
        </w:rPr>
        <w:t xml:space="preserve"> = Producción empresarial por persona ocupada.</w:t>
      </w:r>
    </w:p>
    <w:p w14:paraId="03DD9598" w14:textId="77777777" w:rsidR="002E0E8E" w:rsidRPr="002E0E8E" w:rsidRDefault="002E0E8E" w:rsidP="002E0E8E">
      <w:pPr>
        <w:widowControl w:val="0"/>
        <w:tabs>
          <w:tab w:val="left" w:pos="1950"/>
        </w:tabs>
        <w:spacing w:line="276" w:lineRule="auto"/>
        <w:jc w:val="both"/>
        <w:rPr>
          <w:rFonts w:ascii="Century Gothic" w:eastAsia="Times New Roman" w:hAnsi="Century Gothic" w:cs="Aparajita"/>
          <w:i/>
          <w:iCs/>
          <w:color w:val="6E6E7C"/>
          <w:sz w:val="20"/>
          <w:szCs w:val="20"/>
          <w:lang w:eastAsia="es-EC"/>
        </w:rPr>
      </w:pPr>
      <w:proofErr w:type="spellStart"/>
      <w:r w:rsidRPr="002E0E8E">
        <w:rPr>
          <w:rFonts w:ascii="Century Gothic" w:eastAsia="Times New Roman" w:hAnsi="Century Gothic" w:cs="Aparajita"/>
          <w:i/>
          <w:iCs/>
          <w:color w:val="6E6E7C"/>
          <w:sz w:val="20"/>
          <w:szCs w:val="20"/>
          <w:lang w:eastAsia="es-EC"/>
        </w:rPr>
        <w:t>Prodtota</w:t>
      </w:r>
      <w:proofErr w:type="spellEnd"/>
      <w:r w:rsidRPr="002E0E8E">
        <w:rPr>
          <w:rFonts w:ascii="Century Gothic" w:eastAsia="Times New Roman" w:hAnsi="Century Gothic" w:cs="Aparajita"/>
          <w:i/>
          <w:iCs/>
          <w:color w:val="6E6E7C"/>
          <w:sz w:val="20"/>
          <w:szCs w:val="20"/>
          <w:lang w:eastAsia="es-EC"/>
        </w:rPr>
        <w:t xml:space="preserve"> = Producción total empresarial. </w:t>
      </w:r>
    </w:p>
    <w:p w14:paraId="66C09865" w14:textId="77777777" w:rsidR="002E0E8E" w:rsidRDefault="002E0E8E" w:rsidP="002E0E8E">
      <w:pPr>
        <w:widowControl w:val="0"/>
        <w:tabs>
          <w:tab w:val="left" w:pos="1950"/>
        </w:tabs>
        <w:spacing w:line="276" w:lineRule="auto"/>
        <w:jc w:val="both"/>
        <w:rPr>
          <w:rFonts w:ascii="Century Gothic" w:eastAsia="Times New Roman" w:hAnsi="Century Gothic" w:cs="Aparajita"/>
          <w:i/>
          <w:iCs/>
          <w:color w:val="6E6E7C"/>
          <w:sz w:val="20"/>
          <w:szCs w:val="20"/>
          <w:lang w:eastAsia="es-EC"/>
        </w:rPr>
      </w:pPr>
      <w:proofErr w:type="spellStart"/>
      <w:r w:rsidRPr="002E0E8E">
        <w:rPr>
          <w:rFonts w:ascii="Century Gothic" w:eastAsia="Times New Roman" w:hAnsi="Century Gothic" w:cs="Aparajita"/>
          <w:i/>
          <w:iCs/>
          <w:color w:val="6E6E7C"/>
          <w:sz w:val="20"/>
          <w:szCs w:val="20"/>
          <w:lang w:eastAsia="es-EC"/>
        </w:rPr>
        <w:t>Totalpeoc</w:t>
      </w:r>
      <w:proofErr w:type="spellEnd"/>
      <w:r w:rsidRPr="002E0E8E">
        <w:rPr>
          <w:rFonts w:ascii="Century Gothic" w:eastAsia="Times New Roman" w:hAnsi="Century Gothic" w:cs="Aparajita"/>
          <w:i/>
          <w:iCs/>
          <w:color w:val="6E6E7C"/>
          <w:sz w:val="20"/>
          <w:szCs w:val="20"/>
          <w:lang w:eastAsia="es-EC"/>
        </w:rPr>
        <w:t xml:space="preserve"> = Total personal ocupado empresarial.</w:t>
      </w:r>
    </w:p>
    <w:p w14:paraId="05A35308" w14:textId="77777777" w:rsidR="002E0E8E" w:rsidRPr="002E0E8E" w:rsidRDefault="002E0E8E" w:rsidP="002E0E8E">
      <w:pPr>
        <w:widowControl w:val="0"/>
        <w:tabs>
          <w:tab w:val="left" w:pos="1950"/>
        </w:tabs>
        <w:spacing w:line="276" w:lineRule="auto"/>
        <w:jc w:val="both"/>
        <w:rPr>
          <w:rFonts w:ascii="Century Gothic" w:eastAsia="Times New Roman" w:hAnsi="Century Gothic" w:cs="Aparajita"/>
          <w:i/>
          <w:iCs/>
          <w:color w:val="6E6E7C"/>
          <w:sz w:val="20"/>
          <w:szCs w:val="20"/>
          <w:lang w:eastAsia="es-EC"/>
        </w:rPr>
      </w:pPr>
    </w:p>
    <w:p w14:paraId="65B50271" w14:textId="77777777" w:rsidR="002E0E8E" w:rsidRPr="002E0E8E" w:rsidRDefault="002E0E8E" w:rsidP="002E0E8E">
      <w:pPr>
        <w:spacing w:line="276" w:lineRule="auto"/>
        <w:jc w:val="both"/>
        <w:rPr>
          <w:rFonts w:ascii="Century Gothic" w:hAnsi="Century Gothic" w:cs="Calibri"/>
          <w:b/>
          <w:iCs/>
          <w:color w:val="6E6E7C"/>
          <w:sz w:val="22"/>
          <w:szCs w:val="20"/>
        </w:rPr>
      </w:pPr>
      <w:r w:rsidRPr="002E0E8E">
        <w:rPr>
          <w:rFonts w:ascii="Century Gothic" w:hAnsi="Century Gothic" w:cs="Calibri"/>
          <w:b/>
          <w:iCs/>
          <w:color w:val="6E6E7C"/>
          <w:sz w:val="22"/>
          <w:szCs w:val="20"/>
        </w:rPr>
        <w:t xml:space="preserve">Valor agregado empresarial por persona ocupada </w:t>
      </w:r>
    </w:p>
    <w:p w14:paraId="6C2B8D27" w14:textId="77777777" w:rsidR="002E0E8E" w:rsidRPr="002E0E8E" w:rsidRDefault="002E0E8E" w:rsidP="002E0E8E">
      <w:pPr>
        <w:spacing w:after="200" w:line="276" w:lineRule="auto"/>
        <w:jc w:val="center"/>
        <w:rPr>
          <w:rFonts w:ascii="Century Gothic" w:eastAsia="Times New Roman" w:hAnsi="Century Gothic" w:cs="Aparajita"/>
          <w:i/>
          <w:iCs/>
          <w:color w:val="6E6E7C"/>
          <w:sz w:val="20"/>
          <w:szCs w:val="20"/>
          <w:lang w:eastAsia="es-EC"/>
        </w:rPr>
      </w:pPr>
      <w:r w:rsidRPr="00C85D4E">
        <w:rPr>
          <w:rFonts w:ascii="Century Gothic" w:eastAsia="Calibri" w:hAnsi="Century Gothic" w:cs="Times New Roman"/>
          <w:iCs/>
          <w:color w:val="6E6E7C"/>
          <w:sz w:val="16"/>
          <w:szCs w:val="16"/>
        </w:rPr>
        <w:br/>
      </w:r>
      <m:oMathPara>
        <m:oMath>
          <m:r>
            <w:rPr>
              <w:rFonts w:ascii="Cambria Math" w:eastAsia="Cambria Math" w:hAnsi="Cambria Math" w:cs="Cambria Math"/>
              <w:color w:val="6E6E7C"/>
              <w:sz w:val="20"/>
              <w:szCs w:val="20"/>
              <w:lang w:eastAsia="es-EC"/>
            </w:rPr>
            <m:t xml:space="preserve">valagpo = </m:t>
          </m:r>
          <m:f>
            <m:fPr>
              <m:ctrlPr>
                <w:rPr>
                  <w:rFonts w:ascii="Cambria Math" w:eastAsia="Cambria Math" w:hAnsi="Cambria Math" w:cs="Cambria Math"/>
                  <w:i/>
                  <w:iCs/>
                  <w:color w:val="6E6E7C"/>
                  <w:sz w:val="20"/>
                  <w:szCs w:val="20"/>
                  <w:lang w:eastAsia="es-EC"/>
                </w:rPr>
              </m:ctrlPr>
            </m:fPr>
            <m:num>
              <m:r>
                <w:rPr>
                  <w:rFonts w:ascii="Cambria Math" w:eastAsia="Cambria Math" w:hAnsi="Cambria Math" w:cs="Cambria Math"/>
                  <w:color w:val="6E6E7C"/>
                  <w:sz w:val="20"/>
                  <w:szCs w:val="20"/>
                  <w:lang w:eastAsia="es-EC"/>
                </w:rPr>
                <m:t>valag</m:t>
              </m:r>
            </m:num>
            <m:den>
              <m:r>
                <w:rPr>
                  <w:rFonts w:ascii="Cambria Math" w:eastAsia="Cambria Math" w:hAnsi="Cambria Math" w:cs="Cambria Math"/>
                  <w:color w:val="6E6E7C"/>
                  <w:sz w:val="20"/>
                  <w:szCs w:val="20"/>
                  <w:lang w:eastAsia="es-EC"/>
                </w:rPr>
                <m:t>totalpeoc</m:t>
              </m:r>
            </m:den>
          </m:f>
        </m:oMath>
      </m:oMathPara>
    </w:p>
    <w:p w14:paraId="5DD304C8" w14:textId="77777777" w:rsidR="002E0E8E" w:rsidRPr="002E0E8E" w:rsidRDefault="002E0E8E" w:rsidP="002E0E8E">
      <w:pPr>
        <w:widowControl w:val="0"/>
        <w:spacing w:line="276" w:lineRule="auto"/>
        <w:jc w:val="both"/>
        <w:rPr>
          <w:rFonts w:ascii="Century Gothic" w:eastAsia="Times New Roman" w:hAnsi="Century Gothic" w:cs="Aparajita"/>
          <w:i/>
          <w:iCs/>
          <w:color w:val="6E6E7C"/>
          <w:sz w:val="20"/>
          <w:szCs w:val="20"/>
          <w:lang w:eastAsia="es-EC"/>
        </w:rPr>
      </w:pPr>
      <w:proofErr w:type="spellStart"/>
      <w:proofErr w:type="gramStart"/>
      <w:r w:rsidRPr="002E0E8E">
        <w:rPr>
          <w:rFonts w:ascii="Century Gothic" w:eastAsia="Times New Roman" w:hAnsi="Century Gothic" w:cs="Aparajita"/>
          <w:i/>
          <w:iCs/>
          <w:color w:val="6E6E7C"/>
          <w:sz w:val="20"/>
          <w:szCs w:val="20"/>
          <w:lang w:eastAsia="es-EC"/>
        </w:rPr>
        <w:t>valagpo</w:t>
      </w:r>
      <w:proofErr w:type="spellEnd"/>
      <w:proofErr w:type="gramEnd"/>
      <w:r w:rsidRPr="002E0E8E">
        <w:rPr>
          <w:rFonts w:ascii="Century Gothic" w:eastAsia="Times New Roman" w:hAnsi="Century Gothic" w:cs="Aparajita"/>
          <w:i/>
          <w:iCs/>
          <w:color w:val="6E6E7C"/>
          <w:sz w:val="20"/>
          <w:szCs w:val="20"/>
          <w:lang w:eastAsia="es-EC"/>
        </w:rPr>
        <w:t xml:space="preserve"> = Valor agregado empresarial por persona ocupada.</w:t>
      </w:r>
    </w:p>
    <w:p w14:paraId="036B50FD" w14:textId="77777777" w:rsidR="002E0E8E" w:rsidRPr="002E0E8E" w:rsidRDefault="002E0E8E" w:rsidP="002E0E8E">
      <w:pPr>
        <w:widowControl w:val="0"/>
        <w:spacing w:line="276" w:lineRule="auto"/>
        <w:jc w:val="both"/>
        <w:rPr>
          <w:rFonts w:ascii="Century Gothic" w:eastAsia="Times New Roman" w:hAnsi="Century Gothic" w:cs="Aparajita"/>
          <w:i/>
          <w:iCs/>
          <w:color w:val="6E6E7C"/>
          <w:sz w:val="20"/>
          <w:szCs w:val="20"/>
          <w:lang w:eastAsia="es-EC"/>
        </w:rPr>
      </w:pPr>
      <w:proofErr w:type="spellStart"/>
      <w:proofErr w:type="gramStart"/>
      <w:r w:rsidRPr="002E0E8E">
        <w:rPr>
          <w:rFonts w:ascii="Century Gothic" w:eastAsia="Times New Roman" w:hAnsi="Century Gothic" w:cs="Aparajita"/>
          <w:i/>
          <w:iCs/>
          <w:color w:val="6E6E7C"/>
          <w:sz w:val="20"/>
          <w:szCs w:val="20"/>
          <w:lang w:eastAsia="es-EC"/>
        </w:rPr>
        <w:t>valag</w:t>
      </w:r>
      <w:proofErr w:type="spellEnd"/>
      <w:proofErr w:type="gramEnd"/>
      <w:r w:rsidRPr="002E0E8E">
        <w:rPr>
          <w:rFonts w:ascii="Century Gothic" w:eastAsia="Times New Roman" w:hAnsi="Century Gothic" w:cs="Aparajita"/>
          <w:i/>
          <w:iCs/>
          <w:color w:val="6E6E7C"/>
          <w:sz w:val="20"/>
          <w:szCs w:val="20"/>
          <w:lang w:eastAsia="es-EC"/>
        </w:rPr>
        <w:t xml:space="preserve">        = Valor agregado empresarial.</w:t>
      </w:r>
    </w:p>
    <w:p w14:paraId="470EB5B4" w14:textId="77777777" w:rsidR="002E0E8E" w:rsidRDefault="002E0E8E" w:rsidP="002E0E8E">
      <w:pPr>
        <w:widowControl w:val="0"/>
        <w:spacing w:line="276" w:lineRule="auto"/>
        <w:rPr>
          <w:rFonts w:ascii="Century Gothic" w:eastAsia="Times New Roman" w:hAnsi="Century Gothic" w:cs="Aparajita"/>
          <w:i/>
          <w:iCs/>
          <w:color w:val="6E6E7C"/>
          <w:sz w:val="20"/>
          <w:szCs w:val="20"/>
          <w:lang w:eastAsia="es-EC"/>
        </w:rPr>
      </w:pPr>
      <w:proofErr w:type="spellStart"/>
      <w:proofErr w:type="gramStart"/>
      <w:r w:rsidRPr="002E0E8E">
        <w:rPr>
          <w:rFonts w:ascii="Century Gothic" w:eastAsia="Times New Roman" w:hAnsi="Century Gothic" w:cs="Aparajita"/>
          <w:i/>
          <w:iCs/>
          <w:color w:val="6E6E7C"/>
          <w:sz w:val="20"/>
          <w:szCs w:val="20"/>
          <w:lang w:eastAsia="es-EC"/>
        </w:rPr>
        <w:t>totalpeoc</w:t>
      </w:r>
      <w:proofErr w:type="spellEnd"/>
      <w:proofErr w:type="gramEnd"/>
      <w:r w:rsidRPr="002E0E8E">
        <w:rPr>
          <w:rFonts w:ascii="Century Gothic" w:eastAsia="Times New Roman" w:hAnsi="Century Gothic" w:cs="Aparajita"/>
          <w:i/>
          <w:iCs/>
          <w:color w:val="6E6E7C"/>
          <w:sz w:val="20"/>
          <w:szCs w:val="20"/>
          <w:lang w:eastAsia="es-EC"/>
        </w:rPr>
        <w:t xml:space="preserve"> = Total personal ocupado empresarial.</w:t>
      </w:r>
    </w:p>
    <w:p w14:paraId="1A5D9249" w14:textId="77777777" w:rsidR="002E0E8E" w:rsidRPr="002E0E8E" w:rsidRDefault="002E0E8E" w:rsidP="002E0E8E">
      <w:pPr>
        <w:widowControl w:val="0"/>
        <w:spacing w:line="276" w:lineRule="auto"/>
        <w:rPr>
          <w:rFonts w:ascii="Century Gothic" w:eastAsia="Times New Roman" w:hAnsi="Century Gothic" w:cs="Aparajita"/>
          <w:i/>
          <w:iCs/>
          <w:color w:val="6E6E7C"/>
          <w:sz w:val="20"/>
          <w:szCs w:val="20"/>
          <w:lang w:eastAsia="es-EC"/>
        </w:rPr>
      </w:pPr>
    </w:p>
    <w:p w14:paraId="12C1B079" w14:textId="77777777" w:rsidR="00BC517C" w:rsidRPr="00D27640" w:rsidRDefault="00BC517C" w:rsidP="0094052A">
      <w:pPr>
        <w:pStyle w:val="Ttulo2"/>
        <w:numPr>
          <w:ilvl w:val="1"/>
          <w:numId w:val="2"/>
        </w:numPr>
        <w:spacing w:before="0" w:line="276" w:lineRule="auto"/>
        <w:jc w:val="both"/>
        <w:rPr>
          <w:rFonts w:eastAsiaTheme="minorHAnsi" w:cstheme="minorBidi"/>
          <w:bCs/>
          <w:color w:val="6E6E7C"/>
          <w:sz w:val="28"/>
          <w:szCs w:val="44"/>
        </w:rPr>
      </w:pPr>
      <w:bookmarkStart w:id="362" w:name="_Toc126658013"/>
      <w:bookmarkStart w:id="363" w:name="_Toc148617362"/>
      <w:bookmarkStart w:id="364" w:name="_Toc161322580"/>
      <w:bookmarkEnd w:id="357"/>
      <w:bookmarkEnd w:id="358"/>
      <w:bookmarkEnd w:id="359"/>
      <w:bookmarkEnd w:id="360"/>
      <w:bookmarkEnd w:id="361"/>
      <w:r w:rsidRPr="00D27640">
        <w:rPr>
          <w:rFonts w:eastAsiaTheme="minorHAnsi" w:cstheme="minorBidi"/>
          <w:bCs/>
          <w:color w:val="6E6E7C"/>
          <w:sz w:val="28"/>
          <w:szCs w:val="44"/>
        </w:rPr>
        <w:t>Tabulados</w:t>
      </w:r>
      <w:bookmarkEnd w:id="362"/>
      <w:bookmarkEnd w:id="363"/>
      <w:bookmarkEnd w:id="364"/>
    </w:p>
    <w:p w14:paraId="2B9BBD0B" w14:textId="77777777" w:rsidR="000F7A8B" w:rsidRPr="00582936" w:rsidRDefault="000F7A8B" w:rsidP="000F7A8B">
      <w:pPr>
        <w:keepNext/>
        <w:jc w:val="both"/>
        <w:rPr>
          <w:rFonts w:ascii="Century Gothic" w:eastAsia="Calibri" w:hAnsi="Century Gothic" w:cs="Arial"/>
          <w:iCs/>
          <w:color w:val="6E6E7C"/>
          <w:sz w:val="21"/>
          <w:szCs w:val="21"/>
          <w:lang w:eastAsia="es-EC"/>
        </w:rPr>
      </w:pPr>
      <w:bookmarkStart w:id="365" w:name="_Toc124332753"/>
      <w:bookmarkStart w:id="366" w:name="_Toc126078007"/>
      <w:bookmarkStart w:id="367" w:name="_Toc126658014"/>
      <w:bookmarkEnd w:id="365"/>
      <w:bookmarkEnd w:id="366"/>
      <w:r w:rsidRPr="00582936">
        <w:rPr>
          <w:rFonts w:ascii="Century Gothic" w:eastAsia="Calibri" w:hAnsi="Century Gothic" w:cs="Arial"/>
          <w:iCs/>
          <w:color w:val="6E6E7C"/>
          <w:sz w:val="21"/>
          <w:szCs w:val="21"/>
          <w:lang w:eastAsia="es-EC"/>
        </w:rPr>
        <w:t xml:space="preserve">A continuación, se detalla el plan de tabulados, el cual resume la estructura diseñada para presentar los resultados de forma sistematizada y coherente con los grandes temas investigados por la ENESEM. </w:t>
      </w:r>
    </w:p>
    <w:p w14:paraId="10B0137C" w14:textId="77777777" w:rsidR="002E0E8E" w:rsidRPr="002E0E8E" w:rsidRDefault="002E0E8E" w:rsidP="000F7A8B">
      <w:pPr>
        <w:keepNext/>
        <w:rPr>
          <w:rFonts w:ascii="Century Gothic" w:eastAsia="Calibri" w:hAnsi="Century Gothic" w:cs="Times New Roman"/>
          <w:b/>
          <w:bCs/>
          <w:iCs/>
          <w:color w:val="6E6E7C"/>
          <w:sz w:val="18"/>
          <w:szCs w:val="18"/>
        </w:rPr>
      </w:pPr>
      <w:bookmarkStart w:id="368" w:name="_Toc7095970"/>
      <w:bookmarkStart w:id="369" w:name="_Toc101420787"/>
      <w:bookmarkStart w:id="370" w:name="_Toc128467613"/>
      <w:bookmarkStart w:id="371" w:name="_Toc130899611"/>
      <w:bookmarkStart w:id="372" w:name="_Toc157006153"/>
      <w:bookmarkStart w:id="373" w:name="_Toc157006978"/>
      <w:bookmarkStart w:id="374" w:name="_Toc157368494"/>
      <w:bookmarkStart w:id="375" w:name="_Toc157585789"/>
      <w:bookmarkStart w:id="376" w:name="_Toc157671126"/>
      <w:bookmarkStart w:id="377" w:name="_Toc158206892"/>
    </w:p>
    <w:p w14:paraId="5F90B80F" w14:textId="5838F2FE" w:rsidR="002E0E8E" w:rsidRDefault="00B74F8E" w:rsidP="00B74F8E">
      <w:pPr>
        <w:numPr>
          <w:ilvl w:val="1"/>
          <w:numId w:val="43"/>
        </w:numPr>
        <w:pBdr>
          <w:top w:val="nil"/>
          <w:left w:val="nil"/>
          <w:bottom w:val="nil"/>
          <w:right w:val="nil"/>
          <w:between w:val="nil"/>
        </w:pBdr>
        <w:ind w:left="709" w:hanging="283"/>
        <w:jc w:val="both"/>
        <w:rPr>
          <w:rFonts w:ascii="Century Gothic" w:eastAsia="Calibri" w:hAnsi="Century Gothic" w:cs="Arial"/>
          <w:iCs/>
          <w:color w:val="6E6E7C"/>
          <w:sz w:val="21"/>
          <w:szCs w:val="21"/>
          <w:lang w:eastAsia="es-EC"/>
        </w:rPr>
      </w:pPr>
      <w:r w:rsidRPr="00B74F8E">
        <w:rPr>
          <w:rFonts w:ascii="Century Gothic" w:eastAsia="Calibri" w:hAnsi="Century Gothic" w:cs="Arial"/>
          <w:b/>
          <w:bCs/>
          <w:iCs/>
          <w:color w:val="6E6E7C"/>
          <w:sz w:val="21"/>
          <w:szCs w:val="21"/>
          <w:lang w:val="es-ES_tradnl" w:eastAsia="es-EC"/>
        </w:rPr>
        <w:t>Principales agregados económicos</w:t>
      </w:r>
      <w:r w:rsidR="002E0E8E" w:rsidRPr="002E0E8E">
        <w:rPr>
          <w:rFonts w:ascii="Century Gothic" w:eastAsia="Calibri" w:hAnsi="Century Gothic" w:cs="Arial"/>
          <w:b/>
          <w:iCs/>
          <w:color w:val="6E6E7C"/>
          <w:sz w:val="21"/>
          <w:szCs w:val="21"/>
          <w:lang w:eastAsia="es-EC"/>
        </w:rPr>
        <w:t>, según secciones de actividad económica (CIIU 4ta. Rev.), y tamaño de empresa (valore</w:t>
      </w:r>
      <w:r w:rsidR="002E0E8E">
        <w:rPr>
          <w:rFonts w:ascii="Century Gothic" w:eastAsia="Calibri" w:hAnsi="Century Gothic" w:cs="Arial"/>
          <w:b/>
          <w:iCs/>
          <w:color w:val="6E6E7C"/>
          <w:sz w:val="21"/>
          <w:szCs w:val="21"/>
          <w:lang w:eastAsia="es-EC"/>
        </w:rPr>
        <w:t xml:space="preserve">s en dólares): </w:t>
      </w:r>
      <w:r w:rsidR="002E0E8E">
        <w:rPr>
          <w:rFonts w:ascii="Century Gothic" w:eastAsia="Calibri" w:hAnsi="Century Gothic" w:cs="Arial"/>
          <w:iCs/>
          <w:color w:val="6E6E7C"/>
          <w:sz w:val="21"/>
          <w:szCs w:val="21"/>
          <w:lang w:eastAsia="es-EC"/>
        </w:rPr>
        <w:t>contiene los principales agregados económicos</w:t>
      </w:r>
      <w:r w:rsidR="00A6154E">
        <w:rPr>
          <w:rFonts w:ascii="Century Gothic" w:eastAsia="Calibri" w:hAnsi="Century Gothic" w:cs="Arial"/>
          <w:iCs/>
          <w:color w:val="6E6E7C"/>
          <w:sz w:val="21"/>
          <w:szCs w:val="21"/>
          <w:lang w:eastAsia="es-EC"/>
        </w:rPr>
        <w:t xml:space="preserve">; </w:t>
      </w:r>
      <w:r>
        <w:rPr>
          <w:rFonts w:ascii="Century Gothic" w:eastAsia="Calibri" w:hAnsi="Century Gothic" w:cs="Arial"/>
          <w:iCs/>
          <w:color w:val="6E6E7C"/>
          <w:sz w:val="21"/>
          <w:szCs w:val="21"/>
          <w:lang w:eastAsia="es-EC"/>
        </w:rPr>
        <w:t>n</w:t>
      </w:r>
      <w:r w:rsidRPr="00B74F8E">
        <w:rPr>
          <w:rFonts w:ascii="Century Gothic" w:eastAsia="Calibri" w:hAnsi="Century Gothic" w:cs="Arial"/>
          <w:iCs/>
          <w:color w:val="6E6E7C"/>
          <w:sz w:val="21"/>
          <w:szCs w:val="21"/>
          <w:lang w:eastAsia="es-EC"/>
        </w:rPr>
        <w:t>úmero de empresas, personal ocupado, remuneraciones, producción total, consumo intermedio, valor agregado, depreciaciones y formación bruta de capital fijo empresariales</w:t>
      </w:r>
    </w:p>
    <w:p w14:paraId="0F5EFC12" w14:textId="77777777" w:rsidR="00B74F8E" w:rsidRPr="00B74F8E" w:rsidRDefault="00B74F8E" w:rsidP="00B74F8E">
      <w:pPr>
        <w:pBdr>
          <w:top w:val="nil"/>
          <w:left w:val="nil"/>
          <w:bottom w:val="nil"/>
          <w:right w:val="nil"/>
          <w:between w:val="nil"/>
        </w:pBdr>
        <w:ind w:left="709"/>
        <w:jc w:val="both"/>
        <w:rPr>
          <w:rFonts w:ascii="Century Gothic" w:eastAsia="Calibri" w:hAnsi="Century Gothic" w:cs="Arial"/>
          <w:iCs/>
          <w:color w:val="6E6E7C"/>
          <w:sz w:val="21"/>
          <w:szCs w:val="21"/>
          <w:lang w:eastAsia="es-EC"/>
        </w:rPr>
      </w:pPr>
    </w:p>
    <w:p w14:paraId="4DF1EDFE" w14:textId="77777777" w:rsidR="002E0E8E" w:rsidRPr="00A6154E" w:rsidRDefault="002E0E8E" w:rsidP="00B74F8E">
      <w:pPr>
        <w:pStyle w:val="Prrafodelista"/>
        <w:numPr>
          <w:ilvl w:val="0"/>
          <w:numId w:val="45"/>
        </w:numPr>
        <w:pBdr>
          <w:top w:val="nil"/>
          <w:left w:val="nil"/>
          <w:bottom w:val="nil"/>
          <w:right w:val="nil"/>
          <w:between w:val="nil"/>
        </w:pBdr>
        <w:spacing w:line="240" w:lineRule="auto"/>
        <w:rPr>
          <w:rFonts w:ascii="Century Gothic" w:eastAsia="Calibri" w:hAnsi="Century Gothic" w:cs="Times New Roman"/>
          <w:iCs/>
          <w:color w:val="6E6E7C"/>
          <w:sz w:val="16"/>
          <w:szCs w:val="16"/>
        </w:rPr>
      </w:pPr>
      <w:r w:rsidRPr="00A6154E">
        <w:rPr>
          <w:rFonts w:ascii="Century Gothic" w:eastAsia="Calibri" w:hAnsi="Century Gothic" w:cs="Arial"/>
          <w:b/>
          <w:iCs/>
          <w:color w:val="6E6E7C"/>
          <w:sz w:val="21"/>
          <w:szCs w:val="21"/>
          <w:lang w:eastAsia="es-EC"/>
        </w:rPr>
        <w:t>Personal ocupado, sueldos y salarios pagados, según secciones de actividad económica (CIIU 4ta. Rev.) y tamaño de empresa:</w:t>
      </w:r>
      <w:r w:rsidRPr="00A6154E">
        <w:rPr>
          <w:rFonts w:ascii="Century Gothic" w:eastAsia="Calibri" w:hAnsi="Century Gothic" w:cs="Arial"/>
          <w:iCs/>
          <w:color w:val="6E6E7C"/>
          <w:sz w:val="21"/>
          <w:szCs w:val="21"/>
          <w:lang w:eastAsia="es-EC"/>
        </w:rPr>
        <w:t xml:space="preserve"> contiene información referente a </w:t>
      </w:r>
      <w:r w:rsidR="00A6154E" w:rsidRPr="00A6154E">
        <w:rPr>
          <w:rFonts w:ascii="Century Gothic" w:eastAsia="Calibri" w:hAnsi="Century Gothic" w:cs="Arial"/>
          <w:iCs/>
          <w:color w:val="6E6E7C"/>
          <w:sz w:val="21"/>
          <w:szCs w:val="21"/>
          <w:lang w:eastAsia="es-EC"/>
        </w:rPr>
        <w:t>total hombres, mujeres, personal ocupado, sueldos y salarios, entre otros.</w:t>
      </w:r>
    </w:p>
    <w:p w14:paraId="5543FB3E" w14:textId="77777777" w:rsidR="00A6154E" w:rsidRPr="00A6154E" w:rsidRDefault="00A6154E" w:rsidP="00B74F8E">
      <w:pPr>
        <w:pStyle w:val="Prrafodelista"/>
        <w:spacing w:line="240" w:lineRule="auto"/>
        <w:rPr>
          <w:rFonts w:ascii="Century Gothic" w:eastAsia="Calibri" w:hAnsi="Century Gothic" w:cs="Times New Roman"/>
          <w:iCs/>
          <w:color w:val="6E6E7C"/>
          <w:sz w:val="16"/>
          <w:szCs w:val="16"/>
        </w:rPr>
      </w:pPr>
    </w:p>
    <w:p w14:paraId="2C0A6ECA" w14:textId="77777777" w:rsidR="00A6154E" w:rsidRPr="00A6154E" w:rsidRDefault="00A6154E" w:rsidP="00B74F8E">
      <w:pPr>
        <w:pStyle w:val="Prrafodelista"/>
        <w:numPr>
          <w:ilvl w:val="1"/>
          <w:numId w:val="43"/>
        </w:numPr>
        <w:pBdr>
          <w:top w:val="nil"/>
          <w:left w:val="nil"/>
          <w:bottom w:val="nil"/>
          <w:right w:val="nil"/>
          <w:between w:val="nil"/>
        </w:pBdr>
        <w:spacing w:line="240" w:lineRule="auto"/>
        <w:ind w:left="709"/>
        <w:rPr>
          <w:rFonts w:ascii="Century Gothic" w:eastAsia="Calibri" w:hAnsi="Century Gothic" w:cs="Arial"/>
          <w:b/>
          <w:iCs/>
          <w:color w:val="6E6E7C"/>
          <w:sz w:val="21"/>
          <w:szCs w:val="21"/>
          <w:lang w:eastAsia="es-EC"/>
        </w:rPr>
      </w:pPr>
      <w:r w:rsidRPr="00A6154E">
        <w:rPr>
          <w:rFonts w:ascii="Century Gothic" w:eastAsia="Calibri" w:hAnsi="Century Gothic" w:cs="Arial"/>
          <w:b/>
          <w:iCs/>
          <w:color w:val="6E6E7C"/>
          <w:sz w:val="21"/>
          <w:szCs w:val="21"/>
          <w:lang w:eastAsia="es-EC"/>
        </w:rPr>
        <w:t>Personal ocupado, sueldos y salarios pagados, según grupo de ocupación (CIUO 08. Rev.)</w:t>
      </w:r>
      <w:r>
        <w:rPr>
          <w:rFonts w:ascii="Century Gothic" w:eastAsia="Calibri" w:hAnsi="Century Gothic" w:cs="Arial"/>
          <w:b/>
          <w:iCs/>
          <w:color w:val="6E6E7C"/>
          <w:sz w:val="21"/>
          <w:szCs w:val="21"/>
          <w:lang w:eastAsia="es-EC"/>
        </w:rPr>
        <w:t xml:space="preserve">: </w:t>
      </w:r>
      <w:r>
        <w:rPr>
          <w:rFonts w:ascii="Century Gothic" w:eastAsia="Calibri" w:hAnsi="Century Gothic" w:cs="Arial"/>
          <w:iCs/>
          <w:color w:val="6E6E7C"/>
          <w:sz w:val="21"/>
          <w:szCs w:val="21"/>
          <w:lang w:eastAsia="es-EC"/>
        </w:rPr>
        <w:t xml:space="preserve">contiene información referente a total hombres, mujeres, personal ocupado, sueldos y salarios, otros; según grupo ocupacional. </w:t>
      </w:r>
    </w:p>
    <w:p w14:paraId="2748F920" w14:textId="77777777" w:rsidR="002E0E8E" w:rsidRPr="002E0E8E" w:rsidRDefault="002E0E8E" w:rsidP="00B74F8E">
      <w:pPr>
        <w:pStyle w:val="Prrafodelista"/>
        <w:spacing w:line="240" w:lineRule="auto"/>
        <w:rPr>
          <w:rFonts w:ascii="Century Gothic" w:eastAsia="Calibri" w:hAnsi="Century Gothic" w:cs="Times New Roman"/>
          <w:iCs/>
          <w:color w:val="6E6E7C"/>
          <w:sz w:val="16"/>
          <w:szCs w:val="16"/>
        </w:rPr>
      </w:pPr>
    </w:p>
    <w:p w14:paraId="358A0DE1" w14:textId="77777777" w:rsidR="00A6154E" w:rsidRPr="00A6154E" w:rsidRDefault="002E0E8E"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3446">
        <w:rPr>
          <w:rFonts w:ascii="Century Gothic" w:eastAsia="Calibri" w:hAnsi="Century Gothic" w:cs="Arial"/>
          <w:b/>
          <w:iCs/>
          <w:color w:val="6E6E7C"/>
          <w:sz w:val="21"/>
          <w:szCs w:val="21"/>
          <w:lang w:eastAsia="es-EC"/>
        </w:rPr>
        <w:t>Remuneraciones empresariales, según secciones, de actividad económica (CIIU 4ta. Rev.) y tamaño de empresa (valores en dólares):</w:t>
      </w:r>
      <w:r w:rsidRPr="00943446">
        <w:rPr>
          <w:rFonts w:ascii="Century Gothic" w:eastAsia="Calibri" w:hAnsi="Century Gothic" w:cs="Arial"/>
          <w:iCs/>
          <w:color w:val="6E6E7C"/>
          <w:sz w:val="21"/>
          <w:szCs w:val="21"/>
          <w:lang w:eastAsia="es-EC"/>
        </w:rPr>
        <w:t xml:space="preserve"> contiene información relacionada a</w:t>
      </w:r>
      <w:r w:rsidR="00A6154E">
        <w:rPr>
          <w:rFonts w:ascii="Century Gothic" w:eastAsia="Calibri" w:hAnsi="Century Gothic" w:cs="Arial"/>
          <w:iCs/>
          <w:color w:val="6E6E7C"/>
          <w:sz w:val="21"/>
          <w:szCs w:val="21"/>
          <w:lang w:eastAsia="es-EC"/>
        </w:rPr>
        <w:t>l total de costos y gastos de sueldos, salarios, total beneficios sociales, aporte a la seguridad social, entre otros.</w:t>
      </w:r>
      <w:r w:rsidRPr="00943446">
        <w:rPr>
          <w:rFonts w:ascii="Century Gothic" w:eastAsia="Calibri" w:hAnsi="Century Gothic" w:cs="Arial"/>
          <w:iCs/>
          <w:color w:val="6E6E7C"/>
          <w:sz w:val="21"/>
          <w:szCs w:val="21"/>
          <w:lang w:eastAsia="es-EC"/>
        </w:rPr>
        <w:t xml:space="preserve"> </w:t>
      </w:r>
    </w:p>
    <w:p w14:paraId="0C432EA2" w14:textId="77777777" w:rsidR="00A6154E" w:rsidRPr="00A6154E" w:rsidRDefault="00A6154E" w:rsidP="00B74F8E">
      <w:pPr>
        <w:pStyle w:val="Prrafodelista"/>
        <w:keepNext/>
        <w:spacing w:line="240" w:lineRule="auto"/>
        <w:rPr>
          <w:rFonts w:ascii="Century Gothic" w:eastAsia="Calibri" w:hAnsi="Century Gothic" w:cs="Arial"/>
          <w:b/>
          <w:iCs/>
          <w:color w:val="6E6E7C"/>
          <w:sz w:val="21"/>
          <w:szCs w:val="21"/>
          <w:lang w:eastAsia="es-EC"/>
        </w:rPr>
      </w:pPr>
    </w:p>
    <w:p w14:paraId="0860B1AE" w14:textId="77777777" w:rsidR="00943446" w:rsidRPr="00943446" w:rsidRDefault="00943446"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3446">
        <w:rPr>
          <w:rFonts w:ascii="Century Gothic" w:eastAsia="Calibri" w:hAnsi="Century Gothic" w:cs="Arial"/>
          <w:b/>
          <w:iCs/>
          <w:color w:val="6E6E7C"/>
          <w:sz w:val="21"/>
          <w:szCs w:val="21"/>
          <w:lang w:eastAsia="es-EC"/>
        </w:rPr>
        <w:t xml:space="preserve">Producción total empresarial, según secciones de actividad económica (CIIU 4ta. Rev.) y tamaño </w:t>
      </w:r>
      <w:r>
        <w:rPr>
          <w:rFonts w:ascii="Century Gothic" w:eastAsia="Calibri" w:hAnsi="Century Gothic" w:cs="Arial"/>
          <w:b/>
          <w:iCs/>
          <w:color w:val="6E6E7C"/>
          <w:sz w:val="21"/>
          <w:szCs w:val="21"/>
          <w:lang w:eastAsia="es-EC"/>
        </w:rPr>
        <w:t xml:space="preserve">de empresa (valores en dólares): </w:t>
      </w:r>
      <w:r>
        <w:rPr>
          <w:rFonts w:ascii="Century Gothic" w:eastAsia="Calibri" w:hAnsi="Century Gothic" w:cs="Arial"/>
          <w:iCs/>
          <w:color w:val="6E6E7C"/>
          <w:sz w:val="21"/>
          <w:szCs w:val="21"/>
          <w:lang w:eastAsia="es-EC"/>
        </w:rPr>
        <w:t>contiene información relacionada a ventas</w:t>
      </w:r>
      <w:r w:rsidR="00204F8E">
        <w:rPr>
          <w:rFonts w:ascii="Century Gothic" w:eastAsia="Calibri" w:hAnsi="Century Gothic" w:cs="Arial"/>
          <w:iCs/>
          <w:color w:val="6E6E7C"/>
          <w:sz w:val="21"/>
          <w:szCs w:val="21"/>
          <w:lang w:eastAsia="es-EC"/>
        </w:rPr>
        <w:t xml:space="preserve"> netas de bienes producidos, bienes comercializados</w:t>
      </w:r>
      <w:r>
        <w:rPr>
          <w:rFonts w:ascii="Century Gothic" w:eastAsia="Calibri" w:hAnsi="Century Gothic" w:cs="Arial"/>
          <w:iCs/>
          <w:color w:val="6E6E7C"/>
          <w:sz w:val="21"/>
          <w:szCs w:val="21"/>
          <w:lang w:eastAsia="es-EC"/>
        </w:rPr>
        <w:t xml:space="preserve">, otros ingresos, compras netas de mercadería, entre otros. </w:t>
      </w:r>
    </w:p>
    <w:p w14:paraId="008D15DD" w14:textId="77777777" w:rsidR="00943446" w:rsidRPr="00943446" w:rsidRDefault="00943446" w:rsidP="00B74F8E">
      <w:pPr>
        <w:pStyle w:val="Prrafodelista"/>
        <w:spacing w:line="240" w:lineRule="auto"/>
        <w:rPr>
          <w:rFonts w:ascii="Century Gothic" w:eastAsia="Calibri" w:hAnsi="Century Gothic" w:cs="Arial"/>
          <w:b/>
          <w:iCs/>
          <w:color w:val="6E6E7C"/>
          <w:sz w:val="21"/>
          <w:szCs w:val="21"/>
          <w:lang w:eastAsia="es-EC"/>
        </w:rPr>
      </w:pPr>
    </w:p>
    <w:p w14:paraId="3F8C74DC" w14:textId="77777777" w:rsidR="00943446" w:rsidRPr="00943446" w:rsidRDefault="00943446"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3446">
        <w:rPr>
          <w:rFonts w:ascii="Century Gothic" w:eastAsia="Calibri" w:hAnsi="Century Gothic" w:cs="Arial"/>
          <w:b/>
          <w:iCs/>
          <w:color w:val="6E6E7C"/>
          <w:sz w:val="21"/>
          <w:szCs w:val="21"/>
          <w:lang w:eastAsia="es-EC"/>
        </w:rPr>
        <w:t xml:space="preserve">Consumo intermedio empresarial, según secciones de actividad económica (CIIU 4ta. Rev.) y tamaño </w:t>
      </w:r>
      <w:r>
        <w:rPr>
          <w:rFonts w:ascii="Century Gothic" w:eastAsia="Calibri" w:hAnsi="Century Gothic" w:cs="Arial"/>
          <w:b/>
          <w:iCs/>
          <w:color w:val="6E6E7C"/>
          <w:sz w:val="21"/>
          <w:szCs w:val="21"/>
          <w:lang w:eastAsia="es-EC"/>
        </w:rPr>
        <w:t xml:space="preserve">de empresa (valores en dólares): </w:t>
      </w:r>
      <w:r>
        <w:rPr>
          <w:rFonts w:ascii="Century Gothic" w:eastAsia="Calibri" w:hAnsi="Century Gothic" w:cs="Arial"/>
          <w:iCs/>
          <w:color w:val="6E6E7C"/>
          <w:sz w:val="21"/>
          <w:szCs w:val="21"/>
          <w:lang w:eastAsia="es-EC"/>
        </w:rPr>
        <w:t xml:space="preserve">contiene información acerca del total de insumos, materia prima utilizada, gastos operacionales, entre otros. </w:t>
      </w:r>
    </w:p>
    <w:p w14:paraId="0A6BF0E5" w14:textId="77777777" w:rsidR="00943446" w:rsidRPr="00943446" w:rsidRDefault="00943446" w:rsidP="00B74F8E">
      <w:pPr>
        <w:pStyle w:val="Prrafodelista"/>
        <w:spacing w:line="240" w:lineRule="auto"/>
        <w:rPr>
          <w:rFonts w:ascii="Century Gothic" w:eastAsia="Calibri" w:hAnsi="Century Gothic" w:cs="Arial"/>
          <w:b/>
          <w:iCs/>
          <w:color w:val="6E6E7C"/>
          <w:sz w:val="21"/>
          <w:szCs w:val="21"/>
          <w:lang w:eastAsia="es-EC"/>
        </w:rPr>
      </w:pPr>
    </w:p>
    <w:p w14:paraId="6A053F61" w14:textId="77777777" w:rsidR="00943446" w:rsidRPr="00943446" w:rsidRDefault="00943446"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3446">
        <w:rPr>
          <w:rFonts w:ascii="Century Gothic" w:eastAsia="Calibri" w:hAnsi="Century Gothic" w:cs="Arial"/>
          <w:b/>
          <w:iCs/>
          <w:color w:val="6E6E7C"/>
          <w:sz w:val="21"/>
          <w:szCs w:val="21"/>
          <w:lang w:eastAsia="es-EC"/>
        </w:rPr>
        <w:t xml:space="preserve">Valor y cantidad de los combustibles y lubricantes consumidos, según secciones (CIIU 4ta. Rev.), de actividad económica y tamaño </w:t>
      </w:r>
      <w:r>
        <w:rPr>
          <w:rFonts w:ascii="Century Gothic" w:eastAsia="Calibri" w:hAnsi="Century Gothic" w:cs="Arial"/>
          <w:b/>
          <w:iCs/>
          <w:color w:val="6E6E7C"/>
          <w:sz w:val="21"/>
          <w:szCs w:val="21"/>
          <w:lang w:eastAsia="es-EC"/>
        </w:rPr>
        <w:t xml:space="preserve">de empresa (valores en dólares): </w:t>
      </w:r>
      <w:r>
        <w:rPr>
          <w:rFonts w:ascii="Century Gothic" w:eastAsia="Calibri" w:hAnsi="Century Gothic" w:cs="Arial"/>
          <w:iCs/>
          <w:color w:val="6E6E7C"/>
          <w:sz w:val="21"/>
          <w:szCs w:val="21"/>
          <w:lang w:eastAsia="es-EC"/>
        </w:rPr>
        <w:t xml:space="preserve">contiene información sobre valor y cantidad de los diferentes tipos de combustibles, entre otros. </w:t>
      </w:r>
    </w:p>
    <w:p w14:paraId="665D634C" w14:textId="77777777" w:rsidR="00943446" w:rsidRPr="00943446" w:rsidRDefault="00943446" w:rsidP="00B74F8E">
      <w:pPr>
        <w:pStyle w:val="Prrafodelista"/>
        <w:spacing w:line="240" w:lineRule="auto"/>
        <w:rPr>
          <w:rFonts w:ascii="Century Gothic" w:eastAsia="Calibri" w:hAnsi="Century Gothic" w:cs="Arial"/>
          <w:b/>
          <w:iCs/>
          <w:color w:val="6E6E7C"/>
          <w:sz w:val="21"/>
          <w:szCs w:val="21"/>
          <w:lang w:eastAsia="es-EC"/>
        </w:rPr>
      </w:pPr>
    </w:p>
    <w:p w14:paraId="27B74C81" w14:textId="77777777" w:rsidR="00943446" w:rsidRPr="009442BC" w:rsidRDefault="00943446"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3446">
        <w:rPr>
          <w:rFonts w:ascii="Century Gothic" w:eastAsia="Calibri" w:hAnsi="Century Gothic" w:cs="Arial"/>
          <w:b/>
          <w:iCs/>
          <w:color w:val="6E6E7C"/>
          <w:sz w:val="21"/>
          <w:szCs w:val="21"/>
          <w:lang w:eastAsia="es-EC"/>
        </w:rPr>
        <w:t xml:space="preserve">Valor y cantidad de energía eléctrica, según secciones de actividad económica (CIIU 4ta. Rev.) y tamaño </w:t>
      </w:r>
      <w:r>
        <w:rPr>
          <w:rFonts w:ascii="Century Gothic" w:eastAsia="Calibri" w:hAnsi="Century Gothic" w:cs="Arial"/>
          <w:b/>
          <w:iCs/>
          <w:color w:val="6E6E7C"/>
          <w:sz w:val="21"/>
          <w:szCs w:val="21"/>
          <w:lang w:eastAsia="es-EC"/>
        </w:rPr>
        <w:t xml:space="preserve">de empresa (valores en dólares): </w:t>
      </w:r>
      <w:r w:rsidR="009442BC">
        <w:rPr>
          <w:rFonts w:ascii="Century Gothic" w:eastAsia="Calibri" w:hAnsi="Century Gothic" w:cs="Arial"/>
          <w:iCs/>
          <w:color w:val="6E6E7C"/>
          <w:sz w:val="21"/>
          <w:szCs w:val="21"/>
          <w:lang w:eastAsia="es-EC"/>
        </w:rPr>
        <w:t xml:space="preserve">contiene información referente al valor de energía comprada por red pública, producida y consumida, entre otros. </w:t>
      </w:r>
    </w:p>
    <w:p w14:paraId="3DFEA7F0" w14:textId="77777777" w:rsidR="009442BC" w:rsidRPr="009442BC" w:rsidRDefault="009442BC" w:rsidP="00B74F8E">
      <w:pPr>
        <w:pStyle w:val="Prrafodelista"/>
        <w:spacing w:line="240" w:lineRule="auto"/>
        <w:rPr>
          <w:rFonts w:ascii="Century Gothic" w:eastAsia="Calibri" w:hAnsi="Century Gothic" w:cs="Arial"/>
          <w:b/>
          <w:iCs/>
          <w:color w:val="6E6E7C"/>
          <w:sz w:val="21"/>
          <w:szCs w:val="21"/>
          <w:lang w:eastAsia="es-EC"/>
        </w:rPr>
      </w:pPr>
    </w:p>
    <w:p w14:paraId="6D7D6911" w14:textId="77777777" w:rsidR="009442BC" w:rsidRPr="009442BC" w:rsidRDefault="009442BC"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42BC">
        <w:rPr>
          <w:rFonts w:ascii="Century Gothic" w:eastAsia="Calibri" w:hAnsi="Century Gothic" w:cs="Arial"/>
          <w:b/>
          <w:iCs/>
          <w:color w:val="6E6E7C"/>
          <w:sz w:val="21"/>
          <w:szCs w:val="21"/>
          <w:lang w:eastAsia="es-EC"/>
        </w:rPr>
        <w:t>Indicadores de relación, según secciones de actividad económica (CIIU 4ta. Rev.) y tamaño de empresa (valores en dólares):</w:t>
      </w:r>
      <w:r>
        <w:rPr>
          <w:rFonts w:ascii="Century Gothic" w:eastAsia="Calibri" w:hAnsi="Century Gothic" w:cs="Arial"/>
          <w:b/>
          <w:iCs/>
          <w:color w:val="6E6E7C"/>
          <w:sz w:val="21"/>
          <w:szCs w:val="21"/>
          <w:lang w:eastAsia="es-EC"/>
        </w:rPr>
        <w:t xml:space="preserve"> contiene</w:t>
      </w:r>
      <w:r>
        <w:rPr>
          <w:rFonts w:ascii="Century Gothic" w:eastAsia="Calibri" w:hAnsi="Century Gothic" w:cs="Arial"/>
          <w:iCs/>
          <w:color w:val="6E6E7C"/>
          <w:sz w:val="21"/>
          <w:szCs w:val="21"/>
          <w:lang w:eastAsia="es-EC"/>
        </w:rPr>
        <w:t xml:space="preserve"> los indicadores de producción empresarial por persona ocupada y el valor agregados por personal ocupado. </w:t>
      </w:r>
    </w:p>
    <w:p w14:paraId="7F34AAEE" w14:textId="77777777" w:rsidR="009442BC" w:rsidRPr="009442BC" w:rsidRDefault="009442BC" w:rsidP="00B74F8E">
      <w:pPr>
        <w:pStyle w:val="Prrafodelista"/>
        <w:spacing w:line="240" w:lineRule="auto"/>
        <w:rPr>
          <w:rFonts w:ascii="Century Gothic" w:eastAsia="Calibri" w:hAnsi="Century Gothic" w:cs="Arial"/>
          <w:b/>
          <w:iCs/>
          <w:color w:val="6E6E7C"/>
          <w:sz w:val="21"/>
          <w:szCs w:val="21"/>
          <w:lang w:eastAsia="es-EC"/>
        </w:rPr>
      </w:pPr>
    </w:p>
    <w:p w14:paraId="228E731C" w14:textId="43E6658C" w:rsidR="009442BC" w:rsidRPr="009442BC" w:rsidRDefault="009442BC"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42BC">
        <w:rPr>
          <w:rFonts w:ascii="Century Gothic" w:eastAsia="Calibri" w:hAnsi="Century Gothic" w:cs="Arial"/>
          <w:b/>
          <w:iCs/>
          <w:color w:val="6E6E7C"/>
          <w:sz w:val="21"/>
          <w:szCs w:val="21"/>
          <w:lang w:eastAsia="es-EC"/>
        </w:rPr>
        <w:t>Serie histórica de variables económicas, según secciones de actividad económica (CIIU 4ta. Rev.) y tamaño de empresa</w:t>
      </w:r>
      <w:r>
        <w:rPr>
          <w:rFonts w:ascii="Century Gothic" w:eastAsia="Calibri" w:hAnsi="Century Gothic" w:cs="Arial"/>
          <w:b/>
          <w:iCs/>
          <w:color w:val="6E6E7C"/>
          <w:sz w:val="21"/>
          <w:szCs w:val="21"/>
          <w:lang w:eastAsia="es-EC"/>
        </w:rPr>
        <w:t xml:space="preserve">: </w:t>
      </w:r>
      <w:r>
        <w:rPr>
          <w:rFonts w:ascii="Century Gothic" w:eastAsia="Calibri" w:hAnsi="Century Gothic" w:cs="Arial"/>
          <w:iCs/>
          <w:color w:val="6E6E7C"/>
          <w:sz w:val="21"/>
          <w:szCs w:val="21"/>
          <w:lang w:eastAsia="es-EC"/>
        </w:rPr>
        <w:t>contiene la serie histórica 2017 – 2022 de los p</w:t>
      </w:r>
      <w:r w:rsidR="00B74F8E">
        <w:rPr>
          <w:rFonts w:ascii="Century Gothic" w:eastAsia="Calibri" w:hAnsi="Century Gothic" w:cs="Arial"/>
          <w:iCs/>
          <w:color w:val="6E6E7C"/>
          <w:sz w:val="21"/>
          <w:szCs w:val="21"/>
          <w:lang w:eastAsia="es-EC"/>
        </w:rPr>
        <w:t>rincipales agregados económicos (n</w:t>
      </w:r>
      <w:r w:rsidR="00B74F8E" w:rsidRPr="00B74F8E">
        <w:rPr>
          <w:rFonts w:ascii="Century Gothic" w:eastAsia="Calibri" w:hAnsi="Century Gothic" w:cs="Arial"/>
          <w:iCs/>
          <w:color w:val="6E6E7C"/>
          <w:sz w:val="21"/>
          <w:szCs w:val="21"/>
          <w:lang w:eastAsia="es-EC"/>
        </w:rPr>
        <w:t>úmero de empresas, personal ocupado, remuneraciones, producción total, consumo intermedio</w:t>
      </w:r>
      <w:r w:rsidR="00B74F8E">
        <w:rPr>
          <w:rFonts w:ascii="Century Gothic" w:eastAsia="Calibri" w:hAnsi="Century Gothic" w:cs="Arial"/>
          <w:iCs/>
          <w:color w:val="6E6E7C"/>
          <w:sz w:val="21"/>
          <w:szCs w:val="21"/>
          <w:lang w:eastAsia="es-EC"/>
        </w:rPr>
        <w:t>, entre otros)</w:t>
      </w:r>
    </w:p>
    <w:p w14:paraId="4DE2BC62" w14:textId="77777777" w:rsidR="009442BC" w:rsidRPr="009442BC" w:rsidRDefault="009442BC" w:rsidP="00B74F8E">
      <w:pPr>
        <w:pStyle w:val="Prrafodelista"/>
        <w:spacing w:line="240" w:lineRule="auto"/>
        <w:rPr>
          <w:rFonts w:ascii="Century Gothic" w:eastAsia="Calibri" w:hAnsi="Century Gothic" w:cs="Arial"/>
          <w:b/>
          <w:iCs/>
          <w:color w:val="6E6E7C"/>
          <w:sz w:val="21"/>
          <w:szCs w:val="21"/>
          <w:lang w:eastAsia="es-EC"/>
        </w:rPr>
      </w:pPr>
    </w:p>
    <w:p w14:paraId="0E61D2D2" w14:textId="4C24353F" w:rsidR="009442BC" w:rsidRPr="009442BC" w:rsidRDefault="009442BC" w:rsidP="00B74F8E">
      <w:pPr>
        <w:pStyle w:val="Prrafodelista"/>
        <w:keepNext/>
        <w:numPr>
          <w:ilvl w:val="0"/>
          <w:numId w:val="44"/>
        </w:numPr>
        <w:spacing w:line="240" w:lineRule="auto"/>
        <w:rPr>
          <w:rFonts w:ascii="Century Gothic" w:eastAsia="Calibri" w:hAnsi="Century Gothic" w:cs="Arial"/>
          <w:b/>
          <w:iCs/>
          <w:color w:val="6E6E7C"/>
          <w:sz w:val="21"/>
          <w:szCs w:val="21"/>
          <w:lang w:eastAsia="es-EC"/>
        </w:rPr>
      </w:pPr>
      <w:r w:rsidRPr="009442BC">
        <w:rPr>
          <w:rFonts w:ascii="Century Gothic" w:eastAsia="Calibri" w:hAnsi="Century Gothic" w:cs="Arial"/>
          <w:b/>
          <w:iCs/>
          <w:color w:val="6E6E7C"/>
          <w:sz w:val="21"/>
          <w:szCs w:val="21"/>
          <w:lang w:eastAsia="es-EC"/>
        </w:rPr>
        <w:t>Serie histórica de indicadores de relación, según secciones de actividad económica (CIIU 4ta. Rev.)  y tamaño de empresa</w:t>
      </w:r>
      <w:r>
        <w:rPr>
          <w:rFonts w:ascii="Century Gothic" w:eastAsia="Calibri" w:hAnsi="Century Gothic" w:cs="Arial"/>
          <w:b/>
          <w:iCs/>
          <w:color w:val="6E6E7C"/>
          <w:sz w:val="21"/>
          <w:szCs w:val="21"/>
          <w:lang w:eastAsia="es-EC"/>
        </w:rPr>
        <w:t xml:space="preserve">: </w:t>
      </w:r>
      <w:r>
        <w:rPr>
          <w:rFonts w:ascii="Century Gothic" w:eastAsia="Calibri" w:hAnsi="Century Gothic" w:cs="Arial"/>
          <w:iCs/>
          <w:color w:val="6E6E7C"/>
          <w:sz w:val="21"/>
          <w:szCs w:val="21"/>
          <w:lang w:eastAsia="es-EC"/>
        </w:rPr>
        <w:t>contiene la serie histórica 2017 – 2022 de los indicadores de relación</w:t>
      </w:r>
      <w:r w:rsidR="00B74F8E">
        <w:rPr>
          <w:rFonts w:ascii="Century Gothic" w:eastAsia="Calibri" w:hAnsi="Century Gothic" w:cs="Arial"/>
          <w:iCs/>
          <w:color w:val="6E6E7C"/>
          <w:sz w:val="21"/>
          <w:szCs w:val="21"/>
          <w:lang w:eastAsia="es-EC"/>
        </w:rPr>
        <w:t xml:space="preserve"> (producción empresarial por persona ocupada y el valor agregados por personal ocupado)</w:t>
      </w:r>
      <w:r>
        <w:rPr>
          <w:rFonts w:ascii="Century Gothic" w:eastAsia="Calibri" w:hAnsi="Century Gothic" w:cs="Arial"/>
          <w:iCs/>
          <w:color w:val="6E6E7C"/>
          <w:sz w:val="21"/>
          <w:szCs w:val="21"/>
          <w:lang w:eastAsia="es-EC"/>
        </w:rPr>
        <w:t xml:space="preserve">. </w:t>
      </w:r>
    </w:p>
    <w:p w14:paraId="59E1863F" w14:textId="77777777" w:rsidR="002D4691" w:rsidRPr="00D27640" w:rsidRDefault="002D4691" w:rsidP="0094052A">
      <w:pPr>
        <w:pStyle w:val="Ttulo2"/>
        <w:numPr>
          <w:ilvl w:val="1"/>
          <w:numId w:val="2"/>
        </w:numPr>
        <w:spacing w:before="0" w:line="276" w:lineRule="auto"/>
        <w:jc w:val="both"/>
        <w:rPr>
          <w:rFonts w:eastAsiaTheme="minorHAnsi" w:cstheme="minorBidi"/>
          <w:bCs/>
          <w:color w:val="6E6E7C"/>
          <w:sz w:val="28"/>
          <w:szCs w:val="44"/>
        </w:rPr>
      </w:pPr>
      <w:bookmarkStart w:id="378" w:name="_Toc161322581"/>
      <w:bookmarkEnd w:id="368"/>
      <w:bookmarkEnd w:id="369"/>
      <w:bookmarkEnd w:id="370"/>
      <w:bookmarkEnd w:id="371"/>
      <w:bookmarkEnd w:id="372"/>
      <w:bookmarkEnd w:id="373"/>
      <w:bookmarkEnd w:id="374"/>
      <w:bookmarkEnd w:id="375"/>
      <w:bookmarkEnd w:id="376"/>
      <w:bookmarkEnd w:id="377"/>
      <w:r w:rsidRPr="00D27640">
        <w:rPr>
          <w:rFonts w:eastAsiaTheme="minorHAnsi" w:cstheme="minorBidi"/>
          <w:bCs/>
          <w:color w:val="6E6E7C"/>
          <w:sz w:val="28"/>
          <w:szCs w:val="44"/>
        </w:rPr>
        <w:t>Finalizar los archivos de datos</w:t>
      </w:r>
      <w:bookmarkEnd w:id="378"/>
      <w:r w:rsidRPr="00D27640">
        <w:rPr>
          <w:rFonts w:eastAsiaTheme="minorHAnsi" w:cstheme="minorBidi"/>
          <w:bCs/>
          <w:color w:val="6E6E7C"/>
          <w:sz w:val="28"/>
          <w:szCs w:val="44"/>
        </w:rPr>
        <w:t xml:space="preserve"> </w:t>
      </w:r>
    </w:p>
    <w:p w14:paraId="518AB7B6" w14:textId="7D6D74B7" w:rsidR="002D4691" w:rsidRPr="00582936" w:rsidRDefault="002D4691" w:rsidP="002D4691">
      <w:pPr>
        <w:spacing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Con el fin de controlar oportunamente la calidad de la información de la ENESEM, se generan productos intermedios (bases de datos preliminares), para obtener una base de datos final, como insumo para la generación de los resultados que deben ser analizados, a estas bases de datos se realiza el tratamiento de las variables que las contienen, realizando un proceso de validación, etiquetado, codificación, descripción de variables y depuración de valores con el fin de </w:t>
      </w:r>
      <w:r w:rsidR="003B5D28">
        <w:rPr>
          <w:rFonts w:ascii="Century Gothic" w:eastAsia="Calibri" w:hAnsi="Century Gothic" w:cs="Calibri"/>
          <w:iCs/>
          <w:color w:val="6E6E7C"/>
          <w:sz w:val="21"/>
          <w:szCs w:val="21"/>
        </w:rPr>
        <w:t>ob</w:t>
      </w:r>
      <w:r w:rsidRPr="00582936">
        <w:rPr>
          <w:rFonts w:ascii="Century Gothic" w:eastAsia="Calibri" w:hAnsi="Century Gothic" w:cs="Calibri"/>
          <w:iCs/>
          <w:color w:val="6E6E7C"/>
          <w:sz w:val="21"/>
          <w:szCs w:val="21"/>
        </w:rPr>
        <w:t xml:space="preserve">tener una base de datos con información verificada, validada y homogénea.  </w:t>
      </w:r>
    </w:p>
    <w:p w14:paraId="51B69509" w14:textId="77777777" w:rsidR="00BC517C" w:rsidRPr="00582936" w:rsidRDefault="00666DB5" w:rsidP="0094052A">
      <w:pPr>
        <w:pStyle w:val="Ttulo3"/>
        <w:numPr>
          <w:ilvl w:val="0"/>
          <w:numId w:val="2"/>
        </w:numPr>
        <w:rPr>
          <w:color w:val="6E6E7C"/>
          <w:sz w:val="40"/>
        </w:rPr>
      </w:pPr>
      <w:bookmarkStart w:id="379" w:name="_Toc148617363"/>
      <w:bookmarkStart w:id="380" w:name="_Toc161322582"/>
      <w:r w:rsidRPr="00582936">
        <w:rPr>
          <w:color w:val="6E6E7C"/>
          <w:sz w:val="40"/>
        </w:rPr>
        <w:lastRenderedPageBreak/>
        <w:t>Metodología de análisis y difusión</w:t>
      </w:r>
      <w:bookmarkEnd w:id="367"/>
      <w:bookmarkEnd w:id="379"/>
      <w:bookmarkEnd w:id="380"/>
    </w:p>
    <w:p w14:paraId="648064E4" w14:textId="77777777" w:rsidR="00EA7CD3" w:rsidRPr="00A02A19" w:rsidRDefault="00EA7CD3" w:rsidP="00EA7CD3">
      <w:pPr>
        <w:rPr>
          <w:rFonts w:ascii="Century Gothic" w:hAnsi="Century Gothic"/>
          <w:color w:val="6E6E7C"/>
          <w:sz w:val="20"/>
        </w:rPr>
      </w:pPr>
    </w:p>
    <w:p w14:paraId="2CAB6AE0" w14:textId="77777777" w:rsidR="00517191" w:rsidRPr="00582936" w:rsidRDefault="00517191" w:rsidP="00517191">
      <w:pPr>
        <w:spacing w:after="200" w:line="276" w:lineRule="auto"/>
        <w:jc w:val="both"/>
        <w:rPr>
          <w:rFonts w:ascii="Century Gothic" w:eastAsia="Calibri" w:hAnsi="Century Gothic" w:cs="Calibri"/>
          <w:iCs/>
          <w:color w:val="6E6E7C"/>
          <w:sz w:val="21"/>
          <w:szCs w:val="21"/>
        </w:rPr>
      </w:pPr>
      <w:bookmarkStart w:id="381" w:name="_Toc381774289"/>
      <w:bookmarkStart w:id="382" w:name="_Toc382901705"/>
      <w:r w:rsidRPr="00582936">
        <w:rPr>
          <w:rFonts w:ascii="Century Gothic" w:eastAsia="Calibri" w:hAnsi="Century Gothic" w:cs="Times New Roman"/>
          <w:iCs/>
          <w:color w:val="6E6E7C"/>
          <w:sz w:val="21"/>
          <w:szCs w:val="21"/>
        </w:rPr>
        <w:t xml:space="preserve">El análisis se refiere a la explicación e interpretación de resultados de la operación estadística; el tipo de análisis que realiza la ENESEM es descriptivo, comparativo y evolutivo. </w:t>
      </w:r>
      <w:r w:rsidRPr="00582936">
        <w:rPr>
          <w:rFonts w:ascii="Century Gothic" w:eastAsia="Calibri" w:hAnsi="Century Gothic" w:cs="Calibri"/>
          <w:iCs/>
          <w:color w:val="6E6E7C"/>
          <w:sz w:val="21"/>
          <w:szCs w:val="21"/>
        </w:rPr>
        <w:t>Esta fase incluye también la preparación de los productos de publicación, que responden a los objetivos de la operación estadística, los resultados se analizan a través de comparaciones con fuentes de información afines a la metodología de la encuesta.</w:t>
      </w:r>
    </w:p>
    <w:p w14:paraId="472FEA5E" w14:textId="77777777" w:rsidR="00517191" w:rsidRPr="00582936" w:rsidRDefault="00517191" w:rsidP="009442BC">
      <w:pPr>
        <w:spacing w:before="240" w:line="276" w:lineRule="auto"/>
        <w:jc w:val="both"/>
        <w:rPr>
          <w:rFonts w:ascii="Century Gothic" w:eastAsia="Calibri" w:hAnsi="Century Gothic" w:cs="Times New Roman"/>
          <w:iCs/>
          <w:color w:val="6E6E7C"/>
          <w:sz w:val="21"/>
          <w:szCs w:val="21"/>
          <w:lang w:eastAsia="es-EC"/>
        </w:rPr>
      </w:pPr>
      <w:r w:rsidRPr="00582936">
        <w:rPr>
          <w:rFonts w:ascii="Century Gothic" w:eastAsia="Calibri" w:hAnsi="Century Gothic" w:cs="Times New Roman"/>
          <w:iCs/>
          <w:color w:val="6E6E7C"/>
          <w:sz w:val="21"/>
          <w:szCs w:val="21"/>
          <w:lang w:eastAsia="es-EC"/>
        </w:rPr>
        <w:t xml:space="preserve">Así también, en la fase de difusión se genera, promociona y entrega los productos estadísticos a los usuarios, la ENESEM difunde resultados con periodicidad anual. </w:t>
      </w:r>
      <w:r>
        <w:rPr>
          <w:rFonts w:ascii="Century Gothic" w:eastAsia="Calibri" w:hAnsi="Century Gothic" w:cs="Times New Roman"/>
          <w:iCs/>
          <w:color w:val="6E6E7C"/>
          <w:sz w:val="21"/>
          <w:szCs w:val="21"/>
          <w:lang w:eastAsia="es-EC"/>
        </w:rPr>
        <w:t>S</w:t>
      </w:r>
      <w:r w:rsidRPr="00582936">
        <w:rPr>
          <w:rFonts w:ascii="Century Gothic" w:eastAsia="Calibri" w:hAnsi="Century Gothic" w:cs="Times New Roman"/>
          <w:iCs/>
          <w:color w:val="6E6E7C"/>
          <w:sz w:val="21"/>
          <w:szCs w:val="21"/>
          <w:lang w:eastAsia="es-EC"/>
        </w:rPr>
        <w:t xml:space="preserve">e incluye el desarrollo de planes de comunicación, así como la administración y soporte al usuario, con el fin de facilitar el acceso y la utilización de los resultados publicados. Estas actividades se realizan en conjunto con la Dirección de Comunicación Social (DICOS), previo a la publicación </w:t>
      </w:r>
      <w:r w:rsidRPr="00582936">
        <w:rPr>
          <w:rFonts w:ascii="Century Gothic" w:eastAsia="Calibri" w:hAnsi="Century Gothic" w:cs="Times New Roman"/>
          <w:iCs/>
          <w:color w:val="6E6E7C"/>
          <w:sz w:val="21"/>
          <w:szCs w:val="21"/>
          <w:lang w:val="es-ES" w:eastAsia="es-EC"/>
        </w:rPr>
        <w:t>de</w:t>
      </w:r>
      <w:r w:rsidRPr="00582936">
        <w:rPr>
          <w:rFonts w:ascii="Century Gothic" w:eastAsia="Calibri" w:hAnsi="Century Gothic" w:cs="Times New Roman"/>
          <w:iCs/>
          <w:color w:val="6E6E7C"/>
          <w:sz w:val="21"/>
          <w:szCs w:val="21"/>
          <w:lang w:eastAsia="es-EC"/>
        </w:rPr>
        <w:t xml:space="preserve"> información en la página web de la institución.</w:t>
      </w:r>
    </w:p>
    <w:p w14:paraId="143EED92" w14:textId="77777777" w:rsidR="00517191" w:rsidRPr="00582936" w:rsidRDefault="00517191" w:rsidP="00517191">
      <w:pPr>
        <w:spacing w:before="240" w:after="200" w:line="276" w:lineRule="auto"/>
        <w:jc w:val="both"/>
        <w:rPr>
          <w:rFonts w:ascii="Century Gothic" w:eastAsia="Calibri" w:hAnsi="Century Gothic" w:cs="Times New Roman"/>
          <w:iCs/>
          <w:color w:val="6E6E7C"/>
          <w:sz w:val="21"/>
          <w:szCs w:val="21"/>
          <w:lang w:val="es-ES" w:eastAsia="es-EC"/>
        </w:rPr>
      </w:pPr>
      <w:r w:rsidRPr="00582936">
        <w:rPr>
          <w:rFonts w:ascii="Century Gothic" w:eastAsia="Calibri" w:hAnsi="Century Gothic" w:cs="Times New Roman"/>
          <w:iCs/>
          <w:color w:val="6E6E7C"/>
          <w:sz w:val="21"/>
          <w:szCs w:val="21"/>
          <w:lang w:eastAsia="es-EC"/>
        </w:rPr>
        <w:t xml:space="preserve">La </w:t>
      </w:r>
      <w:r w:rsidRPr="00582936">
        <w:rPr>
          <w:rFonts w:ascii="Century Gothic" w:eastAsia="Calibri" w:hAnsi="Century Gothic" w:cs="Times New Roman"/>
          <w:iCs/>
          <w:color w:val="6E6E7C"/>
          <w:sz w:val="21"/>
          <w:szCs w:val="21"/>
          <w:lang w:val="es-ES" w:eastAsia="es-EC"/>
        </w:rPr>
        <w:t>publicación de</w:t>
      </w:r>
      <w:r w:rsidRPr="00582936">
        <w:rPr>
          <w:rFonts w:ascii="Century Gothic" w:eastAsia="Calibri" w:hAnsi="Century Gothic" w:cs="Times New Roman"/>
          <w:iCs/>
          <w:color w:val="6E6E7C"/>
          <w:sz w:val="21"/>
          <w:szCs w:val="21"/>
          <w:lang w:eastAsia="es-EC"/>
        </w:rPr>
        <w:t xml:space="preserve"> </w:t>
      </w:r>
      <w:r w:rsidRPr="00582936">
        <w:rPr>
          <w:rFonts w:ascii="Century Gothic" w:eastAsia="Calibri" w:hAnsi="Century Gothic" w:cs="Times New Roman"/>
          <w:iCs/>
          <w:color w:val="6E6E7C"/>
          <w:sz w:val="21"/>
          <w:szCs w:val="21"/>
          <w:lang w:val="es-ES" w:eastAsia="es-EC"/>
        </w:rPr>
        <w:t>los</w:t>
      </w:r>
      <w:r w:rsidRPr="00582936">
        <w:rPr>
          <w:rFonts w:ascii="Century Gothic" w:eastAsia="Calibri" w:hAnsi="Century Gothic" w:cs="Times New Roman"/>
          <w:iCs/>
          <w:color w:val="6E6E7C"/>
          <w:sz w:val="21"/>
          <w:szCs w:val="21"/>
          <w:lang w:eastAsia="es-EC"/>
        </w:rPr>
        <w:t xml:space="preserve"> </w:t>
      </w:r>
      <w:r w:rsidRPr="00582936">
        <w:rPr>
          <w:rFonts w:ascii="Century Gothic" w:eastAsia="Calibri" w:hAnsi="Century Gothic" w:cs="Times New Roman"/>
          <w:iCs/>
          <w:color w:val="6E6E7C"/>
          <w:sz w:val="21"/>
          <w:szCs w:val="21"/>
          <w:lang w:val="es-ES" w:eastAsia="es-EC"/>
        </w:rPr>
        <w:t>datos</w:t>
      </w:r>
      <w:r w:rsidRPr="00582936">
        <w:rPr>
          <w:rFonts w:ascii="Century Gothic" w:eastAsia="Calibri" w:hAnsi="Century Gothic" w:cs="Times New Roman"/>
          <w:iCs/>
          <w:color w:val="6E6E7C"/>
          <w:sz w:val="21"/>
          <w:szCs w:val="21"/>
          <w:lang w:eastAsia="es-EC"/>
        </w:rPr>
        <w:t xml:space="preserve"> </w:t>
      </w:r>
      <w:r w:rsidRPr="00582936">
        <w:rPr>
          <w:rFonts w:ascii="Century Gothic" w:eastAsia="Calibri" w:hAnsi="Century Gothic" w:cs="Times New Roman"/>
          <w:iCs/>
          <w:color w:val="6E6E7C"/>
          <w:sz w:val="21"/>
          <w:szCs w:val="21"/>
          <w:lang w:val="es-ES" w:eastAsia="es-EC"/>
        </w:rPr>
        <w:t>se</w:t>
      </w:r>
      <w:r w:rsidRPr="00582936">
        <w:rPr>
          <w:rFonts w:ascii="Century Gothic" w:eastAsia="Calibri" w:hAnsi="Century Gothic" w:cs="Times New Roman"/>
          <w:iCs/>
          <w:color w:val="6E6E7C"/>
          <w:sz w:val="21"/>
          <w:szCs w:val="21"/>
          <w:lang w:eastAsia="es-EC"/>
        </w:rPr>
        <w:t xml:space="preserve"> </w:t>
      </w:r>
      <w:r w:rsidRPr="00582936">
        <w:rPr>
          <w:rFonts w:ascii="Century Gothic" w:eastAsia="Calibri" w:hAnsi="Century Gothic" w:cs="Times New Roman"/>
          <w:iCs/>
          <w:color w:val="6E6E7C"/>
          <w:sz w:val="21"/>
          <w:szCs w:val="21"/>
          <w:lang w:val="es-ES" w:eastAsia="es-EC"/>
        </w:rPr>
        <w:t>encuentra</w:t>
      </w:r>
      <w:r w:rsidRPr="00582936">
        <w:rPr>
          <w:rFonts w:ascii="Century Gothic" w:eastAsia="Calibri" w:hAnsi="Century Gothic" w:cs="Times New Roman"/>
          <w:iCs/>
          <w:color w:val="6E6E7C"/>
          <w:sz w:val="21"/>
          <w:szCs w:val="21"/>
          <w:lang w:eastAsia="es-EC"/>
        </w:rPr>
        <w:t xml:space="preserve"> respaldada por las </w:t>
      </w:r>
      <w:r w:rsidRPr="00582936">
        <w:rPr>
          <w:rFonts w:ascii="Century Gothic" w:eastAsia="Calibri" w:hAnsi="Century Gothic" w:cs="Times New Roman"/>
          <w:iCs/>
          <w:color w:val="6E6E7C"/>
          <w:sz w:val="21"/>
          <w:szCs w:val="21"/>
          <w:lang w:val="es-ES" w:eastAsia="es-EC"/>
        </w:rPr>
        <w:t>leyes</w:t>
      </w:r>
      <w:r w:rsidRPr="00582936">
        <w:rPr>
          <w:rFonts w:ascii="Century Gothic" w:eastAsia="Calibri" w:hAnsi="Century Gothic" w:cs="Times New Roman"/>
          <w:iCs/>
          <w:color w:val="6E6E7C"/>
          <w:sz w:val="21"/>
          <w:szCs w:val="21"/>
          <w:lang w:eastAsia="es-EC"/>
        </w:rPr>
        <w:t xml:space="preserve"> </w:t>
      </w:r>
      <w:r w:rsidRPr="00582936">
        <w:rPr>
          <w:rFonts w:ascii="Century Gothic" w:eastAsia="Calibri" w:hAnsi="Century Gothic" w:cs="Times New Roman"/>
          <w:iCs/>
          <w:color w:val="6E6E7C"/>
          <w:sz w:val="21"/>
          <w:szCs w:val="21"/>
          <w:lang w:val="es-ES" w:eastAsia="es-EC"/>
        </w:rPr>
        <w:t>establecidas en la Constitución de la República del Ecuador, según el artículo 52 que establece: “</w:t>
      </w:r>
      <w:r w:rsidRPr="006B6766">
        <w:rPr>
          <w:rFonts w:ascii="Century Gothic" w:eastAsia="Calibri" w:hAnsi="Century Gothic" w:cs="Times New Roman"/>
          <w:i/>
          <w:color w:val="6E6E7C"/>
          <w:sz w:val="21"/>
          <w:szCs w:val="21"/>
          <w:lang w:val="es-ES" w:eastAsia="es-EC"/>
        </w:rPr>
        <w:t>Las personas tienen derecho a disponer de bienes y servicios de óptima calidad y a elegirlos con libertad, así como a una información precisa y no engañosa sobre su contenido y características</w:t>
      </w:r>
      <w:r w:rsidRPr="00582936">
        <w:rPr>
          <w:rFonts w:ascii="Century Gothic" w:eastAsia="Calibri" w:hAnsi="Century Gothic" w:cs="Times New Roman"/>
          <w:iCs/>
          <w:color w:val="6E6E7C"/>
          <w:sz w:val="21"/>
          <w:szCs w:val="21"/>
          <w:lang w:val="es-ES" w:eastAsia="es-EC"/>
        </w:rPr>
        <w:t xml:space="preserve">” </w:t>
      </w:r>
      <w:sdt>
        <w:sdtPr>
          <w:rPr>
            <w:rFonts w:ascii="Century Gothic" w:eastAsia="Calibri" w:hAnsi="Century Gothic" w:cs="Times New Roman"/>
            <w:iCs/>
            <w:color w:val="6E6E7C"/>
            <w:sz w:val="21"/>
            <w:szCs w:val="21"/>
            <w:lang w:val="es-ES" w:eastAsia="es-EC"/>
          </w:rPr>
          <w:id w:val="560533250"/>
          <w:citation/>
        </w:sdtPr>
        <w:sdtContent>
          <w:r w:rsidRPr="00582936">
            <w:rPr>
              <w:rFonts w:ascii="Century Gothic" w:eastAsia="Calibri" w:hAnsi="Century Gothic" w:cs="Times New Roman"/>
              <w:iCs/>
              <w:color w:val="6E6E7C"/>
              <w:sz w:val="21"/>
              <w:szCs w:val="21"/>
              <w:lang w:val="es-ES" w:eastAsia="es-EC"/>
            </w:rPr>
            <w:fldChar w:fldCharType="begin"/>
          </w:r>
          <w:r w:rsidRPr="00582936">
            <w:rPr>
              <w:rFonts w:ascii="Century Gothic" w:eastAsia="Calibri" w:hAnsi="Century Gothic" w:cs="Times New Roman"/>
              <w:iCs/>
              <w:color w:val="6E6E7C"/>
              <w:sz w:val="21"/>
              <w:szCs w:val="21"/>
              <w:lang w:val="es-ES" w:eastAsia="es-EC"/>
            </w:rPr>
            <w:instrText xml:space="preserve">CITATION CON08 \l 3082 </w:instrText>
          </w:r>
          <w:r w:rsidRPr="00582936">
            <w:rPr>
              <w:rFonts w:ascii="Century Gothic" w:eastAsia="Calibri" w:hAnsi="Century Gothic" w:cs="Times New Roman"/>
              <w:iCs/>
              <w:color w:val="6E6E7C"/>
              <w:sz w:val="21"/>
              <w:szCs w:val="21"/>
              <w:lang w:val="es-ES" w:eastAsia="es-EC"/>
            </w:rPr>
            <w:fldChar w:fldCharType="separate"/>
          </w:r>
          <w:r w:rsidR="006E6B3C" w:rsidRPr="006E6B3C">
            <w:rPr>
              <w:rFonts w:ascii="Century Gothic" w:eastAsia="Calibri" w:hAnsi="Century Gothic" w:cs="Times New Roman"/>
              <w:noProof/>
              <w:color w:val="6E6E7C"/>
              <w:sz w:val="21"/>
              <w:szCs w:val="21"/>
              <w:lang w:val="es-ES" w:eastAsia="es-EC"/>
            </w:rPr>
            <w:t>(CRE, 2008)</w:t>
          </w:r>
          <w:r w:rsidRPr="00582936">
            <w:rPr>
              <w:rFonts w:ascii="Century Gothic" w:eastAsia="Calibri" w:hAnsi="Century Gothic" w:cs="Times New Roman"/>
              <w:iCs/>
              <w:color w:val="6E6E7C"/>
              <w:sz w:val="21"/>
              <w:szCs w:val="21"/>
              <w:lang w:val="es-ES" w:eastAsia="es-EC"/>
            </w:rPr>
            <w:fldChar w:fldCharType="end"/>
          </w:r>
        </w:sdtContent>
      </w:sdt>
      <w:r w:rsidRPr="00582936">
        <w:rPr>
          <w:rFonts w:ascii="Century Gothic" w:eastAsia="Calibri" w:hAnsi="Century Gothic" w:cs="Times New Roman"/>
          <w:iCs/>
          <w:color w:val="6E6E7C"/>
          <w:sz w:val="21"/>
          <w:szCs w:val="21"/>
          <w:lang w:val="es-ES" w:eastAsia="es-EC"/>
        </w:rPr>
        <w:t>.</w:t>
      </w:r>
    </w:p>
    <w:p w14:paraId="4D2CB036" w14:textId="77777777" w:rsidR="00EA7CD3" w:rsidRPr="00582936" w:rsidRDefault="00517191" w:rsidP="00517191">
      <w:pPr>
        <w:spacing w:before="240" w:after="200" w:line="276" w:lineRule="auto"/>
        <w:jc w:val="both"/>
        <w:rPr>
          <w:rFonts w:ascii="Century Gothic" w:eastAsia="Calibri" w:hAnsi="Century Gothic" w:cs="Times New Roman"/>
          <w:iCs/>
          <w:color w:val="6E6E7C"/>
          <w:sz w:val="21"/>
          <w:szCs w:val="21"/>
          <w:lang w:val="es-ES" w:eastAsia="es-EC"/>
        </w:rPr>
      </w:pPr>
      <w:r w:rsidRPr="00582936">
        <w:rPr>
          <w:rFonts w:ascii="Century Gothic" w:eastAsia="Calibri" w:hAnsi="Century Gothic" w:cs="Times New Roman"/>
          <w:iCs/>
          <w:color w:val="6E6E7C"/>
          <w:sz w:val="21"/>
          <w:szCs w:val="21"/>
          <w:lang w:val="es-ES" w:eastAsia="es-EC"/>
        </w:rPr>
        <w:t>Las estadísticas resultado de las operaciones realizadas en el INEC, se encuentran normadas por el Código de Buenas Prácticas Estadísticas, que establece el libre</w:t>
      </w:r>
      <w:r>
        <w:rPr>
          <w:rFonts w:ascii="Century Gothic" w:eastAsia="Calibri" w:hAnsi="Century Gothic" w:cs="Times New Roman"/>
          <w:iCs/>
          <w:color w:val="6E6E7C"/>
          <w:sz w:val="21"/>
          <w:szCs w:val="21"/>
          <w:lang w:val="es-ES" w:eastAsia="es-EC"/>
        </w:rPr>
        <w:t xml:space="preserve"> </w:t>
      </w:r>
      <w:r w:rsidR="00EA7CD3" w:rsidRPr="00582936">
        <w:rPr>
          <w:rFonts w:ascii="Century Gothic" w:eastAsia="Calibri" w:hAnsi="Century Gothic" w:cs="Times New Roman"/>
          <w:iCs/>
          <w:color w:val="6E6E7C"/>
          <w:sz w:val="21"/>
          <w:szCs w:val="21"/>
          <w:lang w:val="es-ES" w:eastAsia="es-EC"/>
        </w:rPr>
        <w:t xml:space="preserve">acceso, información precisa, confiable y la confidencialidad de los datos. </w:t>
      </w:r>
    </w:p>
    <w:p w14:paraId="4670EDF8" w14:textId="77777777" w:rsidR="00BC517C" w:rsidRPr="00582936" w:rsidRDefault="00BC517C" w:rsidP="00E5524A">
      <w:pPr>
        <w:pStyle w:val="Prrafodelista"/>
        <w:keepNext/>
        <w:keepLines/>
        <w:numPr>
          <w:ilvl w:val="0"/>
          <w:numId w:val="32"/>
        </w:numPr>
        <w:tabs>
          <w:tab w:val="left" w:pos="567"/>
        </w:tabs>
        <w:spacing w:before="120" w:after="120"/>
        <w:contextualSpacing w:val="0"/>
        <w:outlineLvl w:val="2"/>
        <w:rPr>
          <w:rFonts w:ascii="Century Gothic" w:hAnsi="Century Gothic"/>
          <w:b/>
          <w:vanish/>
          <w:color w:val="6E6E7C"/>
          <w:sz w:val="24"/>
          <w:szCs w:val="44"/>
        </w:rPr>
      </w:pPr>
      <w:bookmarkStart w:id="383" w:name="_Toc131062475"/>
      <w:bookmarkStart w:id="384" w:name="_Toc131492816"/>
      <w:bookmarkStart w:id="385" w:name="_Toc148617364"/>
      <w:bookmarkStart w:id="386" w:name="_Toc155867229"/>
      <w:bookmarkStart w:id="387" w:name="_Toc156907683"/>
      <w:bookmarkStart w:id="388" w:name="_Toc156907764"/>
      <w:bookmarkStart w:id="389" w:name="_Toc156908266"/>
      <w:bookmarkStart w:id="390" w:name="_Toc157007274"/>
      <w:bookmarkStart w:id="391" w:name="_Toc157007341"/>
      <w:bookmarkStart w:id="392" w:name="_Toc157368465"/>
      <w:bookmarkStart w:id="393" w:name="_Toc157542095"/>
      <w:bookmarkStart w:id="394" w:name="_Toc157585764"/>
      <w:bookmarkStart w:id="395" w:name="_Toc157586034"/>
      <w:bookmarkStart w:id="396" w:name="_Toc157671096"/>
      <w:bookmarkStart w:id="397" w:name="_Toc157672243"/>
      <w:bookmarkStart w:id="398" w:name="_Toc158206865"/>
      <w:bookmarkStart w:id="399" w:name="_Toc161297057"/>
      <w:bookmarkStart w:id="400" w:name="_Toc161322517"/>
      <w:bookmarkStart w:id="401" w:name="_Toc161322583"/>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75662193" w14:textId="77777777" w:rsidR="00BC517C" w:rsidRPr="00D27640" w:rsidRDefault="00BC517C" w:rsidP="0094052A">
      <w:pPr>
        <w:pStyle w:val="Ttulo2"/>
        <w:numPr>
          <w:ilvl w:val="1"/>
          <w:numId w:val="1"/>
        </w:numPr>
        <w:spacing w:before="0" w:line="276" w:lineRule="auto"/>
        <w:jc w:val="both"/>
        <w:rPr>
          <w:rFonts w:eastAsiaTheme="minorHAnsi" w:cstheme="minorBidi"/>
          <w:bCs/>
          <w:color w:val="6E6E7C"/>
          <w:sz w:val="28"/>
          <w:szCs w:val="44"/>
        </w:rPr>
      </w:pPr>
      <w:bookmarkStart w:id="402" w:name="_Toc126658015"/>
      <w:bookmarkStart w:id="403" w:name="_Toc148617365"/>
      <w:bookmarkStart w:id="404" w:name="_Toc161322584"/>
      <w:r w:rsidRPr="00D27640">
        <w:rPr>
          <w:rFonts w:eastAsiaTheme="minorHAnsi" w:cstheme="minorBidi"/>
          <w:bCs/>
          <w:color w:val="6E6E7C"/>
          <w:sz w:val="28"/>
          <w:szCs w:val="44"/>
        </w:rPr>
        <w:t>Consistencia e interpretación de resultados</w:t>
      </w:r>
      <w:bookmarkEnd w:id="402"/>
      <w:bookmarkEnd w:id="403"/>
      <w:bookmarkEnd w:id="404"/>
    </w:p>
    <w:p w14:paraId="6A23067A" w14:textId="77777777" w:rsidR="00517191" w:rsidRPr="00517191" w:rsidRDefault="00517191" w:rsidP="00517191">
      <w:pPr>
        <w:spacing w:after="200" w:line="276" w:lineRule="auto"/>
        <w:jc w:val="both"/>
        <w:rPr>
          <w:rFonts w:ascii="Century Gothic" w:eastAsia="Calibri" w:hAnsi="Century Gothic" w:cs="Calibri"/>
          <w:iCs/>
          <w:color w:val="6E6E7C"/>
          <w:sz w:val="21"/>
          <w:szCs w:val="21"/>
        </w:rPr>
      </w:pPr>
      <w:r w:rsidRPr="00517191">
        <w:rPr>
          <w:rFonts w:ascii="Century Gothic" w:eastAsia="Calibri" w:hAnsi="Century Gothic" w:cs="Calibri"/>
          <w:iCs/>
          <w:color w:val="6E6E7C"/>
          <w:sz w:val="21"/>
          <w:szCs w:val="21"/>
        </w:rPr>
        <w:t>Una vez recolectada y procesada la información, se generan los agregados e indicadores de la encuesta. Estos son contrastados con las estadísticas del Registro Estadístico de Empresas 2022 (REEM) y del Banco Central del Ecuador, a fin de validar la coherencia y calidad de los resultados obtenidos de la encuesta. Además, se realiza un análisis de tendencia con la información de la ENESEM 2016-2022.</w:t>
      </w:r>
    </w:p>
    <w:p w14:paraId="5CBC5CBF" w14:textId="77777777" w:rsidR="00517191" w:rsidRPr="00517191" w:rsidRDefault="00517191" w:rsidP="00517191">
      <w:pPr>
        <w:spacing w:after="200" w:line="276" w:lineRule="auto"/>
        <w:jc w:val="both"/>
        <w:rPr>
          <w:rFonts w:ascii="Century Gothic" w:eastAsia="Calibri" w:hAnsi="Century Gothic" w:cs="Calibri"/>
          <w:iCs/>
          <w:color w:val="6E6E7C"/>
          <w:sz w:val="21"/>
          <w:szCs w:val="21"/>
        </w:rPr>
      </w:pPr>
      <w:r w:rsidRPr="00517191">
        <w:rPr>
          <w:rFonts w:ascii="Century Gothic" w:eastAsia="Calibri" w:hAnsi="Century Gothic" w:cs="Calibri"/>
          <w:iCs/>
          <w:color w:val="6E6E7C"/>
          <w:sz w:val="21"/>
          <w:szCs w:val="21"/>
        </w:rPr>
        <w:t xml:space="preserve">Para analizar la consistencia de las ventas y el personal ocupado de las empresas, se realiza un análisis de coherencia entre las estimaciones obtenidas por la encuesta, y la información del REEM, que está estructurado por registros administrativos de todas las empresas del país. </w:t>
      </w:r>
    </w:p>
    <w:p w14:paraId="413EF0D7" w14:textId="77777777" w:rsidR="00EA7CD3" w:rsidRPr="00582936" w:rsidRDefault="00517191" w:rsidP="00517191">
      <w:pPr>
        <w:spacing w:after="200" w:line="276" w:lineRule="auto"/>
        <w:jc w:val="both"/>
        <w:rPr>
          <w:rFonts w:ascii="Century Gothic" w:eastAsia="Calibri" w:hAnsi="Century Gothic" w:cs="Times New Roman"/>
          <w:iCs/>
          <w:color w:val="6E6E7C"/>
          <w:sz w:val="21"/>
          <w:szCs w:val="21"/>
        </w:rPr>
      </w:pPr>
      <w:r w:rsidRPr="00517191">
        <w:rPr>
          <w:rFonts w:ascii="Century Gothic" w:eastAsia="Calibri" w:hAnsi="Century Gothic" w:cs="Calibri"/>
          <w:iCs/>
          <w:color w:val="6E6E7C"/>
          <w:sz w:val="21"/>
          <w:szCs w:val="21"/>
        </w:rPr>
        <w:t xml:space="preserve">Para las variables de producción, consumo intermedio y valor agregado se realiza contrastes con la información de Cuentas Nacionales (sector no financiero) provenientes del Banco Central del Ecuador. Sin embargo, se debe considerar que las fuentes de información tienen diferentes metodologías de estudio, el Banco Central agrupa información de todas las unidades y sectores económicos del país (incluye la pequeña y microempresa, y todas las secciones de la economía), mientras que el grupo de análisis de la ENESEM se concentra en las medianas y </w:t>
      </w:r>
      <w:r w:rsidR="00EA7CD3" w:rsidRPr="00582936">
        <w:rPr>
          <w:rFonts w:ascii="Century Gothic" w:eastAsia="Calibri" w:hAnsi="Century Gothic" w:cs="Times New Roman"/>
          <w:iCs/>
          <w:color w:val="6E6E7C"/>
          <w:sz w:val="21"/>
          <w:szCs w:val="21"/>
        </w:rPr>
        <w:lastRenderedPageBreak/>
        <w:t>grandes empresas; y excluye, según el diseño muestral determinadas actividades económicas.</w:t>
      </w:r>
    </w:p>
    <w:p w14:paraId="26AA3FB3" w14:textId="77777777" w:rsidR="00EA7CD3" w:rsidRPr="00582936" w:rsidRDefault="00EA7CD3" w:rsidP="00EA7CD3">
      <w:pPr>
        <w:spacing w:before="240"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Con el fin de interpretar y explicar las estadísticas generadas, se realiza un análisis descriptivo, comparativo y evolutivo, basado en la estadística inferencial, que permite estimar agregados poblacionales de las empresas grandes y medianas según las actividades abordadas por la </w:t>
      </w:r>
      <w:r w:rsidRPr="00E51852">
        <w:rPr>
          <w:rFonts w:ascii="Century Gothic" w:eastAsia="Calibri" w:hAnsi="Century Gothic" w:cs="Times New Roman"/>
          <w:iCs/>
          <w:color w:val="6E6E7C"/>
          <w:sz w:val="21"/>
          <w:szCs w:val="21"/>
        </w:rPr>
        <w:t xml:space="preserve">investigación (ver </w:t>
      </w:r>
      <w:r w:rsidR="00E51852" w:rsidRPr="00E51852">
        <w:rPr>
          <w:rFonts w:ascii="Century Gothic" w:eastAsia="Calibri" w:hAnsi="Century Gothic" w:cs="Times New Roman"/>
          <w:iCs/>
          <w:color w:val="6E6E7C"/>
          <w:sz w:val="21"/>
          <w:szCs w:val="21"/>
        </w:rPr>
        <w:t>capítulo 2)</w:t>
      </w:r>
      <w:r w:rsidRPr="00E51852">
        <w:rPr>
          <w:rFonts w:ascii="Century Gothic" w:eastAsia="Calibri" w:hAnsi="Century Gothic" w:cs="Times New Roman"/>
          <w:iCs/>
          <w:color w:val="6E6E7C"/>
          <w:sz w:val="21"/>
          <w:szCs w:val="21"/>
        </w:rPr>
        <w:t>.</w:t>
      </w:r>
    </w:p>
    <w:p w14:paraId="6C5A7677" w14:textId="77777777" w:rsidR="00EA7CD3" w:rsidRPr="00582936" w:rsidRDefault="00EA7CD3" w:rsidP="00EA7CD3">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La información de la ENESEM se analiza de acuerdo </w:t>
      </w:r>
      <w:r w:rsidR="006F2F29">
        <w:rPr>
          <w:rFonts w:ascii="Century Gothic" w:eastAsia="Calibri" w:hAnsi="Century Gothic" w:cs="Times New Roman"/>
          <w:iCs/>
          <w:color w:val="6E6E7C"/>
          <w:sz w:val="21"/>
          <w:szCs w:val="21"/>
        </w:rPr>
        <w:t>a</w:t>
      </w:r>
      <w:r w:rsidRPr="00582936">
        <w:rPr>
          <w:rFonts w:ascii="Century Gothic" w:eastAsia="Calibri" w:hAnsi="Century Gothic" w:cs="Times New Roman"/>
          <w:iCs/>
          <w:color w:val="6E6E7C"/>
          <w:sz w:val="21"/>
          <w:szCs w:val="21"/>
        </w:rPr>
        <w:t>l siguiente proceso:</w:t>
      </w:r>
    </w:p>
    <w:p w14:paraId="657F9529" w14:textId="77777777" w:rsidR="00EA7CD3" w:rsidRPr="00582936" w:rsidRDefault="00EA7CD3" w:rsidP="00E5524A">
      <w:pPr>
        <w:numPr>
          <w:ilvl w:val="0"/>
          <w:numId w:val="33"/>
        </w:numPr>
        <w:spacing w:after="200" w:line="276" w:lineRule="auto"/>
        <w:contextualSpacing/>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Se </w:t>
      </w:r>
      <w:r w:rsidR="006F2F29">
        <w:rPr>
          <w:rFonts w:ascii="Century Gothic" w:eastAsia="Calibri" w:hAnsi="Century Gothic" w:cs="Times New Roman"/>
          <w:iCs/>
          <w:color w:val="6E6E7C"/>
          <w:sz w:val="21"/>
          <w:szCs w:val="21"/>
        </w:rPr>
        <w:t>examina</w:t>
      </w:r>
      <w:r w:rsidR="006F2F29" w:rsidRPr="00582936" w:rsidDel="006F2F29">
        <w:rPr>
          <w:rFonts w:ascii="Century Gothic" w:eastAsia="Calibri" w:hAnsi="Century Gothic" w:cs="Times New Roman"/>
          <w:iCs/>
          <w:color w:val="6E6E7C"/>
          <w:sz w:val="21"/>
          <w:szCs w:val="21"/>
        </w:rPr>
        <w:t xml:space="preserve"> </w:t>
      </w:r>
      <w:r w:rsidRPr="00582936">
        <w:rPr>
          <w:rFonts w:ascii="Century Gothic" w:eastAsia="Calibri" w:hAnsi="Century Gothic" w:cs="Times New Roman"/>
          <w:iCs/>
          <w:color w:val="6E6E7C"/>
          <w:sz w:val="21"/>
          <w:szCs w:val="21"/>
        </w:rPr>
        <w:t xml:space="preserve">la tendencia de la serie de agregados económicos y las variables que los componen para identificar datos atípicos, a través de gráficos estadísticos, índices simples y variaciones anuales. </w:t>
      </w:r>
    </w:p>
    <w:p w14:paraId="6A8A2F51" w14:textId="47F99413" w:rsidR="00EA7CD3" w:rsidRPr="00E51852" w:rsidRDefault="00EA7CD3" w:rsidP="00EA7CD3">
      <w:pPr>
        <w:spacing w:before="240"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Finalm</w:t>
      </w:r>
      <w:r w:rsidRPr="00E51852">
        <w:rPr>
          <w:rFonts w:ascii="Century Gothic" w:eastAsia="Calibri" w:hAnsi="Century Gothic" w:cs="Times New Roman"/>
          <w:iCs/>
          <w:color w:val="6E6E7C"/>
          <w:sz w:val="21"/>
          <w:szCs w:val="21"/>
        </w:rPr>
        <w:t xml:space="preserve">ente, en la Tabla </w:t>
      </w:r>
      <w:r w:rsidR="0032644F">
        <w:rPr>
          <w:rFonts w:ascii="Century Gothic" w:eastAsia="Calibri" w:hAnsi="Century Gothic" w:cs="Times New Roman"/>
          <w:iCs/>
          <w:color w:val="6E6E7C"/>
          <w:sz w:val="21"/>
          <w:szCs w:val="21"/>
        </w:rPr>
        <w:t>13</w:t>
      </w:r>
      <w:r w:rsidRPr="00E51852">
        <w:rPr>
          <w:rFonts w:ascii="Century Gothic" w:eastAsia="Calibri" w:hAnsi="Century Gothic" w:cs="Times New Roman"/>
          <w:iCs/>
          <w:color w:val="6E6E7C"/>
          <w:sz w:val="21"/>
          <w:szCs w:val="21"/>
        </w:rPr>
        <w:t xml:space="preserve"> se observa la serie histórica de los principales indicadores ec</w:t>
      </w:r>
      <w:r w:rsidR="00EB133C" w:rsidRPr="00E51852">
        <w:rPr>
          <w:rFonts w:ascii="Century Gothic" w:eastAsia="Calibri" w:hAnsi="Century Gothic" w:cs="Times New Roman"/>
          <w:iCs/>
          <w:color w:val="6E6E7C"/>
          <w:sz w:val="21"/>
          <w:szCs w:val="21"/>
        </w:rPr>
        <w:t>onómicos en el periodo 2019-2022</w:t>
      </w:r>
      <w:r w:rsidRPr="00E51852">
        <w:rPr>
          <w:rFonts w:ascii="Century Gothic" w:eastAsia="Calibri" w:hAnsi="Century Gothic" w:cs="Times New Roman"/>
          <w:iCs/>
          <w:color w:val="6E6E7C"/>
          <w:sz w:val="21"/>
          <w:szCs w:val="21"/>
        </w:rPr>
        <w:t>.</w:t>
      </w:r>
    </w:p>
    <w:p w14:paraId="52462611" w14:textId="77777777" w:rsidR="00EA7CD3" w:rsidRPr="00582936" w:rsidRDefault="00EA7CD3" w:rsidP="00CF3585">
      <w:pPr>
        <w:spacing w:after="200"/>
        <w:jc w:val="center"/>
        <w:rPr>
          <w:rFonts w:ascii="Century Gothic" w:eastAsia="Calibri" w:hAnsi="Century Gothic" w:cs="Arial"/>
          <w:iCs/>
          <w:color w:val="6E6E7C"/>
          <w:sz w:val="18"/>
          <w:szCs w:val="18"/>
        </w:rPr>
      </w:pPr>
      <w:bookmarkStart w:id="405" w:name="_Toc128467620"/>
      <w:bookmarkStart w:id="406" w:name="_Toc130899618"/>
      <w:bookmarkStart w:id="407" w:name="_Toc157006154"/>
      <w:bookmarkStart w:id="408" w:name="_Toc157006979"/>
      <w:bookmarkStart w:id="409" w:name="_Toc157368495"/>
      <w:bookmarkStart w:id="410" w:name="_Toc157585790"/>
      <w:bookmarkStart w:id="411" w:name="_Toc157671127"/>
      <w:bookmarkStart w:id="412" w:name="_Toc158206893"/>
      <w:bookmarkStart w:id="413" w:name="_Toc161322607"/>
      <w:r w:rsidRPr="00E51852">
        <w:rPr>
          <w:rFonts w:ascii="Century Gothic" w:eastAsia="Calibri" w:hAnsi="Century Gothic" w:cs="Arial"/>
          <w:b/>
          <w:iCs/>
          <w:color w:val="6E6E7C"/>
          <w:sz w:val="18"/>
          <w:szCs w:val="18"/>
        </w:rPr>
        <w:t xml:space="preserve">Tabla </w:t>
      </w:r>
      <w:r w:rsidRPr="00E51852">
        <w:rPr>
          <w:rFonts w:ascii="Century Gothic" w:eastAsia="Calibri" w:hAnsi="Century Gothic" w:cs="Arial"/>
          <w:b/>
          <w:iCs/>
          <w:color w:val="6E6E7C"/>
          <w:sz w:val="18"/>
          <w:szCs w:val="18"/>
        </w:rPr>
        <w:fldChar w:fldCharType="begin"/>
      </w:r>
      <w:r w:rsidRPr="00E51852">
        <w:rPr>
          <w:rFonts w:ascii="Century Gothic" w:eastAsia="Calibri" w:hAnsi="Century Gothic" w:cs="Arial"/>
          <w:b/>
          <w:iCs/>
          <w:color w:val="6E6E7C"/>
          <w:sz w:val="18"/>
          <w:szCs w:val="18"/>
        </w:rPr>
        <w:instrText xml:space="preserve"> SEQ Tabla \* ARABIC </w:instrText>
      </w:r>
      <w:r w:rsidRPr="00E51852">
        <w:rPr>
          <w:rFonts w:ascii="Century Gothic" w:eastAsia="Calibri" w:hAnsi="Century Gothic" w:cs="Arial"/>
          <w:b/>
          <w:iCs/>
          <w:color w:val="6E6E7C"/>
          <w:sz w:val="18"/>
          <w:szCs w:val="18"/>
        </w:rPr>
        <w:fldChar w:fldCharType="separate"/>
      </w:r>
      <w:r w:rsidR="00CF3585">
        <w:rPr>
          <w:rFonts w:ascii="Century Gothic" w:eastAsia="Calibri" w:hAnsi="Century Gothic" w:cs="Arial"/>
          <w:b/>
          <w:iCs/>
          <w:noProof/>
          <w:color w:val="6E6E7C"/>
          <w:sz w:val="18"/>
          <w:szCs w:val="18"/>
        </w:rPr>
        <w:t>13</w:t>
      </w:r>
      <w:r w:rsidRPr="00E51852">
        <w:rPr>
          <w:rFonts w:ascii="Century Gothic" w:eastAsia="Calibri" w:hAnsi="Century Gothic" w:cs="Arial"/>
          <w:b/>
          <w:iCs/>
          <w:color w:val="6E6E7C"/>
          <w:sz w:val="18"/>
          <w:szCs w:val="18"/>
        </w:rPr>
        <w:fldChar w:fldCharType="end"/>
      </w:r>
      <w:r w:rsidRPr="00E51852">
        <w:rPr>
          <w:rFonts w:ascii="Century Gothic" w:eastAsia="Calibri" w:hAnsi="Century Gothic" w:cs="Arial"/>
          <w:b/>
          <w:iCs/>
          <w:color w:val="6E6E7C"/>
          <w:sz w:val="18"/>
          <w:szCs w:val="18"/>
        </w:rPr>
        <w:t>.</w:t>
      </w:r>
      <w:r w:rsidRPr="00E51852">
        <w:rPr>
          <w:rFonts w:ascii="Century Gothic" w:eastAsia="Calibri" w:hAnsi="Century Gothic" w:cs="Arial"/>
          <w:iCs/>
          <w:color w:val="6E6E7C"/>
          <w:sz w:val="18"/>
          <w:szCs w:val="18"/>
        </w:rPr>
        <w:t xml:space="preserve"> Serie</w:t>
      </w:r>
      <w:r w:rsidRPr="00582936">
        <w:rPr>
          <w:rFonts w:ascii="Century Gothic" w:eastAsia="Calibri" w:hAnsi="Century Gothic" w:cs="Arial"/>
          <w:iCs/>
          <w:color w:val="6E6E7C"/>
          <w:sz w:val="18"/>
          <w:szCs w:val="18"/>
        </w:rPr>
        <w:t xml:space="preserve"> histórica de los agregados económicos de la ENESEM:</w:t>
      </w:r>
      <w:bookmarkEnd w:id="405"/>
      <w:bookmarkEnd w:id="406"/>
      <w:bookmarkEnd w:id="407"/>
      <w:bookmarkEnd w:id="408"/>
      <w:bookmarkEnd w:id="409"/>
      <w:bookmarkEnd w:id="410"/>
      <w:bookmarkEnd w:id="411"/>
      <w:bookmarkEnd w:id="412"/>
      <w:bookmarkEnd w:id="413"/>
    </w:p>
    <w:tbl>
      <w:tblPr>
        <w:tblW w:w="9575" w:type="dxa"/>
        <w:tblInd w:w="-673" w:type="dxa"/>
        <w:tblCellMar>
          <w:left w:w="70" w:type="dxa"/>
          <w:right w:w="70" w:type="dxa"/>
        </w:tblCellMar>
        <w:tblLook w:val="04A0" w:firstRow="1" w:lastRow="0" w:firstColumn="1" w:lastColumn="0" w:noHBand="0" w:noVBand="1"/>
      </w:tblPr>
      <w:tblGrid>
        <w:gridCol w:w="5676"/>
        <w:gridCol w:w="1298"/>
        <w:gridCol w:w="1298"/>
        <w:gridCol w:w="1303"/>
      </w:tblGrid>
      <w:tr w:rsidR="0085217B" w:rsidRPr="00582936" w14:paraId="1AA3E19B" w14:textId="77777777" w:rsidTr="00460317">
        <w:trPr>
          <w:trHeight w:val="280"/>
        </w:trPr>
        <w:tc>
          <w:tcPr>
            <w:tcW w:w="5676" w:type="dxa"/>
            <w:tcBorders>
              <w:top w:val="single" w:sz="8" w:space="0" w:color="AEAAAA"/>
              <w:left w:val="single" w:sz="8" w:space="0" w:color="AEAAAA"/>
              <w:bottom w:val="single" w:sz="8" w:space="0" w:color="AEAAAA"/>
              <w:right w:val="single" w:sz="8" w:space="0" w:color="AEAAAA"/>
            </w:tcBorders>
            <w:shd w:val="clear" w:color="auto" w:fill="4266CE"/>
            <w:vAlign w:val="center"/>
            <w:hideMark/>
          </w:tcPr>
          <w:p w14:paraId="682F4CBD" w14:textId="77777777" w:rsidR="00EA7CD3" w:rsidRPr="00460317" w:rsidRDefault="00EA7CD3" w:rsidP="00EA7CD3">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Sector económico</w:t>
            </w:r>
          </w:p>
        </w:tc>
        <w:tc>
          <w:tcPr>
            <w:tcW w:w="1298" w:type="dxa"/>
            <w:tcBorders>
              <w:top w:val="single" w:sz="8" w:space="0" w:color="AEAAAA"/>
              <w:left w:val="nil"/>
              <w:bottom w:val="single" w:sz="8" w:space="0" w:color="AEAAAA"/>
              <w:right w:val="single" w:sz="8" w:space="0" w:color="AEAAAA"/>
            </w:tcBorders>
            <w:shd w:val="clear" w:color="auto" w:fill="4266CE"/>
            <w:vAlign w:val="center"/>
            <w:hideMark/>
          </w:tcPr>
          <w:p w14:paraId="799FE472" w14:textId="77777777" w:rsidR="00EA7CD3" w:rsidRPr="00460317" w:rsidRDefault="00EA7CD3" w:rsidP="00EA7CD3">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ENESEM 2020</w:t>
            </w:r>
          </w:p>
        </w:tc>
        <w:tc>
          <w:tcPr>
            <w:tcW w:w="1298" w:type="dxa"/>
            <w:tcBorders>
              <w:top w:val="single" w:sz="8" w:space="0" w:color="AEAAAA"/>
              <w:left w:val="nil"/>
              <w:bottom w:val="single" w:sz="8" w:space="0" w:color="AEAAAA"/>
              <w:right w:val="single" w:sz="8" w:space="0" w:color="AEAAAA"/>
            </w:tcBorders>
            <w:shd w:val="clear" w:color="auto" w:fill="4266CE"/>
            <w:vAlign w:val="center"/>
            <w:hideMark/>
          </w:tcPr>
          <w:p w14:paraId="060BD7F0" w14:textId="77777777" w:rsidR="00EA7CD3" w:rsidRPr="00460317" w:rsidRDefault="00EA7CD3" w:rsidP="00EA7CD3">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ENESEM 2021</w:t>
            </w:r>
          </w:p>
        </w:tc>
        <w:tc>
          <w:tcPr>
            <w:tcW w:w="1302" w:type="dxa"/>
            <w:tcBorders>
              <w:top w:val="single" w:sz="8" w:space="0" w:color="AEAAAA"/>
              <w:left w:val="nil"/>
              <w:bottom w:val="single" w:sz="8" w:space="0" w:color="AEAAAA"/>
              <w:right w:val="single" w:sz="8" w:space="0" w:color="AEAAAA"/>
            </w:tcBorders>
            <w:shd w:val="clear" w:color="auto" w:fill="4266CE"/>
            <w:vAlign w:val="center"/>
            <w:hideMark/>
          </w:tcPr>
          <w:p w14:paraId="0F67C2AB" w14:textId="77777777" w:rsidR="00EA7CD3" w:rsidRPr="00460317" w:rsidRDefault="00EA7CD3" w:rsidP="00EA7CD3">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ENESEM 2022*</w:t>
            </w:r>
          </w:p>
        </w:tc>
      </w:tr>
      <w:tr w:rsidR="0085217B" w:rsidRPr="00582936" w14:paraId="14D25FD0" w14:textId="77777777" w:rsidTr="00460317">
        <w:trPr>
          <w:trHeight w:val="280"/>
        </w:trPr>
        <w:tc>
          <w:tcPr>
            <w:tcW w:w="9575" w:type="dxa"/>
            <w:gridSpan w:val="4"/>
            <w:tcBorders>
              <w:top w:val="single" w:sz="8" w:space="0" w:color="AEAAAA"/>
              <w:left w:val="single" w:sz="8" w:space="0" w:color="AEAAAA"/>
              <w:bottom w:val="single" w:sz="8" w:space="0" w:color="AEAAAA"/>
              <w:right w:val="single" w:sz="8" w:space="0" w:color="AEAAAA"/>
            </w:tcBorders>
            <w:shd w:val="clear" w:color="auto" w:fill="4266CE"/>
            <w:vAlign w:val="center"/>
            <w:hideMark/>
          </w:tcPr>
          <w:p w14:paraId="1C12B5BA" w14:textId="77777777" w:rsidR="00EA7CD3" w:rsidRPr="00460317" w:rsidRDefault="00EA7CD3" w:rsidP="006A43EB">
            <w:pP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Número de empresas</w:t>
            </w:r>
          </w:p>
        </w:tc>
      </w:tr>
      <w:tr w:rsidR="0085217B" w:rsidRPr="00582936" w14:paraId="2CAB9C6D"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65B26DBA" w14:textId="77777777" w:rsidR="00EA7CD3" w:rsidRPr="00582936" w:rsidRDefault="00EA7CD3" w:rsidP="00EA7CD3">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Total Nacional</w:t>
            </w:r>
          </w:p>
        </w:tc>
        <w:tc>
          <w:tcPr>
            <w:tcW w:w="1298" w:type="dxa"/>
            <w:tcBorders>
              <w:top w:val="nil"/>
              <w:left w:val="nil"/>
              <w:bottom w:val="single" w:sz="8" w:space="0" w:color="AEAAAA"/>
              <w:right w:val="single" w:sz="8" w:space="0" w:color="AEAAAA"/>
            </w:tcBorders>
            <w:shd w:val="clear" w:color="auto" w:fill="auto"/>
            <w:noWrap/>
            <w:vAlign w:val="center"/>
            <w:hideMark/>
          </w:tcPr>
          <w:p w14:paraId="09285722"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12.243</w:t>
            </w:r>
          </w:p>
        </w:tc>
        <w:tc>
          <w:tcPr>
            <w:tcW w:w="1298" w:type="dxa"/>
            <w:tcBorders>
              <w:top w:val="nil"/>
              <w:left w:val="nil"/>
              <w:bottom w:val="single" w:sz="8" w:space="0" w:color="AEAAAA"/>
              <w:right w:val="single" w:sz="8" w:space="0" w:color="AEAAAA"/>
            </w:tcBorders>
            <w:shd w:val="clear" w:color="auto" w:fill="auto"/>
            <w:noWrap/>
            <w:vAlign w:val="center"/>
            <w:hideMark/>
          </w:tcPr>
          <w:p w14:paraId="6BA36FAB"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13.830</w:t>
            </w:r>
          </w:p>
        </w:tc>
        <w:tc>
          <w:tcPr>
            <w:tcW w:w="1302" w:type="dxa"/>
            <w:tcBorders>
              <w:top w:val="nil"/>
              <w:left w:val="nil"/>
              <w:bottom w:val="single" w:sz="8" w:space="0" w:color="AEAAAA"/>
              <w:right w:val="single" w:sz="8" w:space="0" w:color="AEAAAA"/>
            </w:tcBorders>
            <w:shd w:val="clear" w:color="auto" w:fill="auto"/>
            <w:vAlign w:val="center"/>
            <w:hideMark/>
          </w:tcPr>
          <w:p w14:paraId="77FFD56D"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 </w:t>
            </w:r>
            <w:r w:rsidR="001A0F3B" w:rsidRPr="00582936">
              <w:rPr>
                <w:rFonts w:ascii="Century Gothic" w:eastAsia="Times New Roman" w:hAnsi="Century Gothic" w:cs="Calibri"/>
                <w:b/>
                <w:bCs/>
                <w:color w:val="6E6E7C"/>
                <w:sz w:val="16"/>
                <w:szCs w:val="16"/>
                <w:lang w:eastAsia="es-EC"/>
              </w:rPr>
              <w:t>15.844</w:t>
            </w:r>
          </w:p>
        </w:tc>
      </w:tr>
      <w:tr w:rsidR="0085217B" w:rsidRPr="00582936" w14:paraId="18F074F7" w14:textId="77777777" w:rsidTr="00BA7D1F">
        <w:trPr>
          <w:trHeight w:val="239"/>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4E9CD5BE"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Minería</w:t>
            </w:r>
          </w:p>
        </w:tc>
        <w:tc>
          <w:tcPr>
            <w:tcW w:w="1298" w:type="dxa"/>
            <w:tcBorders>
              <w:top w:val="nil"/>
              <w:left w:val="nil"/>
              <w:bottom w:val="single" w:sz="8" w:space="0" w:color="AEAAAA"/>
              <w:right w:val="single" w:sz="8" w:space="0" w:color="AEAAAA"/>
            </w:tcBorders>
            <w:shd w:val="clear" w:color="auto" w:fill="auto"/>
            <w:noWrap/>
            <w:vAlign w:val="center"/>
            <w:hideMark/>
          </w:tcPr>
          <w:p w14:paraId="71C0B32F"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165</w:t>
            </w:r>
          </w:p>
        </w:tc>
        <w:tc>
          <w:tcPr>
            <w:tcW w:w="1298" w:type="dxa"/>
            <w:tcBorders>
              <w:top w:val="nil"/>
              <w:left w:val="nil"/>
              <w:bottom w:val="single" w:sz="8" w:space="0" w:color="AEAAAA"/>
              <w:right w:val="single" w:sz="8" w:space="0" w:color="AEAAAA"/>
            </w:tcBorders>
            <w:shd w:val="clear" w:color="auto" w:fill="auto"/>
            <w:noWrap/>
            <w:vAlign w:val="center"/>
            <w:hideMark/>
          </w:tcPr>
          <w:p w14:paraId="08A71820"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172</w:t>
            </w:r>
          </w:p>
        </w:tc>
        <w:tc>
          <w:tcPr>
            <w:tcW w:w="1302" w:type="dxa"/>
            <w:tcBorders>
              <w:top w:val="nil"/>
              <w:left w:val="nil"/>
              <w:bottom w:val="single" w:sz="8" w:space="0" w:color="AEAAAA"/>
              <w:right w:val="single" w:sz="8" w:space="0" w:color="AEAAAA"/>
            </w:tcBorders>
            <w:shd w:val="clear" w:color="auto" w:fill="auto"/>
            <w:vAlign w:val="center"/>
            <w:hideMark/>
          </w:tcPr>
          <w:p w14:paraId="0D553575"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192</w:t>
            </w:r>
          </w:p>
        </w:tc>
      </w:tr>
      <w:tr w:rsidR="0085217B" w:rsidRPr="00582936" w14:paraId="7AA40662" w14:textId="77777777" w:rsidTr="00BA7D1F">
        <w:trPr>
          <w:trHeight w:val="239"/>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5BC3E8B1"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Manufactura</w:t>
            </w:r>
          </w:p>
        </w:tc>
        <w:tc>
          <w:tcPr>
            <w:tcW w:w="1298" w:type="dxa"/>
            <w:tcBorders>
              <w:top w:val="nil"/>
              <w:left w:val="nil"/>
              <w:bottom w:val="single" w:sz="8" w:space="0" w:color="AEAAAA"/>
              <w:right w:val="single" w:sz="8" w:space="0" w:color="AEAAAA"/>
            </w:tcBorders>
            <w:shd w:val="clear" w:color="auto" w:fill="auto"/>
            <w:noWrap/>
            <w:vAlign w:val="center"/>
            <w:hideMark/>
          </w:tcPr>
          <w:p w14:paraId="05C2BAA7"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1.710</w:t>
            </w:r>
          </w:p>
        </w:tc>
        <w:tc>
          <w:tcPr>
            <w:tcW w:w="1298" w:type="dxa"/>
            <w:tcBorders>
              <w:top w:val="nil"/>
              <w:left w:val="nil"/>
              <w:bottom w:val="single" w:sz="8" w:space="0" w:color="AEAAAA"/>
              <w:right w:val="single" w:sz="8" w:space="0" w:color="AEAAAA"/>
            </w:tcBorders>
            <w:shd w:val="clear" w:color="auto" w:fill="auto"/>
            <w:noWrap/>
            <w:vAlign w:val="center"/>
            <w:hideMark/>
          </w:tcPr>
          <w:p w14:paraId="1A7F3ECF"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1.881</w:t>
            </w:r>
          </w:p>
        </w:tc>
        <w:tc>
          <w:tcPr>
            <w:tcW w:w="1302" w:type="dxa"/>
            <w:tcBorders>
              <w:top w:val="nil"/>
              <w:left w:val="nil"/>
              <w:bottom w:val="single" w:sz="8" w:space="0" w:color="AEAAAA"/>
              <w:right w:val="single" w:sz="8" w:space="0" w:color="AEAAAA"/>
            </w:tcBorders>
            <w:shd w:val="clear" w:color="auto" w:fill="auto"/>
            <w:vAlign w:val="center"/>
            <w:hideMark/>
          </w:tcPr>
          <w:p w14:paraId="1E995023"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2.053</w:t>
            </w:r>
          </w:p>
        </w:tc>
      </w:tr>
      <w:tr w:rsidR="0085217B" w:rsidRPr="00582936" w14:paraId="25CDE79F" w14:textId="77777777" w:rsidTr="00BA7D1F">
        <w:trPr>
          <w:trHeight w:val="239"/>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0195DC3C"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Construcción</w:t>
            </w:r>
          </w:p>
        </w:tc>
        <w:tc>
          <w:tcPr>
            <w:tcW w:w="1298" w:type="dxa"/>
            <w:tcBorders>
              <w:top w:val="nil"/>
              <w:left w:val="nil"/>
              <w:bottom w:val="single" w:sz="8" w:space="0" w:color="AEAAAA"/>
              <w:right w:val="single" w:sz="8" w:space="0" w:color="AEAAAA"/>
            </w:tcBorders>
            <w:shd w:val="clear" w:color="auto" w:fill="auto"/>
            <w:noWrap/>
            <w:vAlign w:val="center"/>
            <w:hideMark/>
          </w:tcPr>
          <w:p w14:paraId="6D2E9C5F"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562</w:t>
            </w:r>
          </w:p>
        </w:tc>
        <w:tc>
          <w:tcPr>
            <w:tcW w:w="1298" w:type="dxa"/>
            <w:tcBorders>
              <w:top w:val="nil"/>
              <w:left w:val="nil"/>
              <w:bottom w:val="single" w:sz="8" w:space="0" w:color="AEAAAA"/>
              <w:right w:val="single" w:sz="8" w:space="0" w:color="AEAAAA"/>
            </w:tcBorders>
            <w:shd w:val="clear" w:color="auto" w:fill="auto"/>
            <w:noWrap/>
            <w:vAlign w:val="center"/>
            <w:hideMark/>
          </w:tcPr>
          <w:p w14:paraId="3031D9A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644</w:t>
            </w:r>
          </w:p>
        </w:tc>
        <w:tc>
          <w:tcPr>
            <w:tcW w:w="1302" w:type="dxa"/>
            <w:tcBorders>
              <w:top w:val="nil"/>
              <w:left w:val="nil"/>
              <w:bottom w:val="single" w:sz="8" w:space="0" w:color="AEAAAA"/>
              <w:right w:val="single" w:sz="8" w:space="0" w:color="AEAAAA"/>
            </w:tcBorders>
            <w:shd w:val="clear" w:color="auto" w:fill="auto"/>
            <w:vAlign w:val="center"/>
            <w:hideMark/>
          </w:tcPr>
          <w:p w14:paraId="0377CBB1"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751</w:t>
            </w:r>
          </w:p>
        </w:tc>
      </w:tr>
      <w:tr w:rsidR="0085217B" w:rsidRPr="00582936" w14:paraId="7A886F87" w14:textId="77777777" w:rsidTr="00BA7D1F">
        <w:trPr>
          <w:trHeight w:val="239"/>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673B7994"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Comercio</w:t>
            </w:r>
          </w:p>
        </w:tc>
        <w:tc>
          <w:tcPr>
            <w:tcW w:w="1298" w:type="dxa"/>
            <w:tcBorders>
              <w:top w:val="nil"/>
              <w:left w:val="nil"/>
              <w:bottom w:val="single" w:sz="8" w:space="0" w:color="AEAAAA"/>
              <w:right w:val="single" w:sz="8" w:space="0" w:color="AEAAAA"/>
            </w:tcBorders>
            <w:shd w:val="clear" w:color="auto" w:fill="auto"/>
            <w:noWrap/>
            <w:vAlign w:val="center"/>
            <w:hideMark/>
          </w:tcPr>
          <w:p w14:paraId="6FB4132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6.560</w:t>
            </w:r>
          </w:p>
        </w:tc>
        <w:tc>
          <w:tcPr>
            <w:tcW w:w="1298" w:type="dxa"/>
            <w:tcBorders>
              <w:top w:val="nil"/>
              <w:left w:val="nil"/>
              <w:bottom w:val="single" w:sz="8" w:space="0" w:color="AEAAAA"/>
              <w:right w:val="single" w:sz="8" w:space="0" w:color="AEAAAA"/>
            </w:tcBorders>
            <w:shd w:val="clear" w:color="auto" w:fill="auto"/>
            <w:noWrap/>
            <w:vAlign w:val="center"/>
            <w:hideMark/>
          </w:tcPr>
          <w:p w14:paraId="6A4FD10D"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7.300</w:t>
            </w:r>
          </w:p>
        </w:tc>
        <w:tc>
          <w:tcPr>
            <w:tcW w:w="1302" w:type="dxa"/>
            <w:tcBorders>
              <w:top w:val="nil"/>
              <w:left w:val="nil"/>
              <w:bottom w:val="single" w:sz="8" w:space="0" w:color="AEAAAA"/>
              <w:right w:val="single" w:sz="8" w:space="0" w:color="AEAAAA"/>
            </w:tcBorders>
            <w:shd w:val="clear" w:color="auto" w:fill="auto"/>
            <w:vAlign w:val="center"/>
            <w:hideMark/>
          </w:tcPr>
          <w:p w14:paraId="1313D2BE"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8.187</w:t>
            </w:r>
          </w:p>
        </w:tc>
      </w:tr>
      <w:tr w:rsidR="0085217B" w:rsidRPr="00582936" w14:paraId="45DDAB69" w14:textId="77777777" w:rsidTr="00BA7D1F">
        <w:trPr>
          <w:trHeight w:val="239"/>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5F2B8A33"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Servicios</w:t>
            </w:r>
          </w:p>
        </w:tc>
        <w:tc>
          <w:tcPr>
            <w:tcW w:w="1298" w:type="dxa"/>
            <w:tcBorders>
              <w:top w:val="nil"/>
              <w:left w:val="nil"/>
              <w:bottom w:val="single" w:sz="8" w:space="0" w:color="AEAAAA"/>
              <w:right w:val="single" w:sz="8" w:space="0" w:color="AEAAAA"/>
            </w:tcBorders>
            <w:shd w:val="clear" w:color="auto" w:fill="auto"/>
            <w:noWrap/>
            <w:vAlign w:val="center"/>
            <w:hideMark/>
          </w:tcPr>
          <w:p w14:paraId="24619F9E"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3.246</w:t>
            </w:r>
          </w:p>
        </w:tc>
        <w:tc>
          <w:tcPr>
            <w:tcW w:w="1298" w:type="dxa"/>
            <w:tcBorders>
              <w:top w:val="nil"/>
              <w:left w:val="nil"/>
              <w:bottom w:val="single" w:sz="8" w:space="0" w:color="AEAAAA"/>
              <w:right w:val="single" w:sz="8" w:space="0" w:color="AEAAAA"/>
            </w:tcBorders>
            <w:shd w:val="clear" w:color="auto" w:fill="auto"/>
            <w:noWrap/>
            <w:vAlign w:val="center"/>
            <w:hideMark/>
          </w:tcPr>
          <w:p w14:paraId="5035491D"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3.833</w:t>
            </w:r>
          </w:p>
        </w:tc>
        <w:tc>
          <w:tcPr>
            <w:tcW w:w="1302" w:type="dxa"/>
            <w:tcBorders>
              <w:top w:val="nil"/>
              <w:left w:val="nil"/>
              <w:bottom w:val="single" w:sz="8" w:space="0" w:color="AEAAAA"/>
              <w:right w:val="single" w:sz="8" w:space="0" w:color="AEAAAA"/>
            </w:tcBorders>
            <w:shd w:val="clear" w:color="auto" w:fill="auto"/>
            <w:vAlign w:val="center"/>
            <w:hideMark/>
          </w:tcPr>
          <w:p w14:paraId="2742B9C6"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4.661</w:t>
            </w:r>
          </w:p>
        </w:tc>
      </w:tr>
      <w:tr w:rsidR="0085217B" w:rsidRPr="00582936" w14:paraId="4767D6F7" w14:textId="77777777" w:rsidTr="00460317">
        <w:trPr>
          <w:trHeight w:val="280"/>
        </w:trPr>
        <w:tc>
          <w:tcPr>
            <w:tcW w:w="9575" w:type="dxa"/>
            <w:gridSpan w:val="4"/>
            <w:tcBorders>
              <w:top w:val="single" w:sz="8" w:space="0" w:color="AEAAAA"/>
              <w:left w:val="single" w:sz="8" w:space="0" w:color="AEAAAA"/>
              <w:bottom w:val="single" w:sz="8" w:space="0" w:color="AEAAAA"/>
              <w:right w:val="single" w:sz="8" w:space="0" w:color="AEAAAA"/>
            </w:tcBorders>
            <w:shd w:val="clear" w:color="auto" w:fill="4266CE"/>
            <w:vAlign w:val="center"/>
            <w:hideMark/>
          </w:tcPr>
          <w:p w14:paraId="6405A3C0"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460317">
              <w:rPr>
                <w:rFonts w:ascii="Century Gothic" w:eastAsia="Times New Roman" w:hAnsi="Century Gothic" w:cs="Calibri"/>
                <w:b/>
                <w:bCs/>
                <w:color w:val="FFFFFF" w:themeColor="background1"/>
                <w:sz w:val="16"/>
                <w:szCs w:val="16"/>
                <w:lang w:eastAsia="es-EC"/>
              </w:rPr>
              <w:t>Producción total empresarial (millones de dólares)</w:t>
            </w:r>
          </w:p>
        </w:tc>
      </w:tr>
      <w:tr w:rsidR="0085217B" w:rsidRPr="00582936" w14:paraId="3242A51D"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75AE8FE1" w14:textId="77777777" w:rsidR="00EA7CD3" w:rsidRPr="00582936" w:rsidRDefault="00EA7CD3" w:rsidP="00EA7CD3">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Total Nacional</w:t>
            </w:r>
          </w:p>
        </w:tc>
        <w:tc>
          <w:tcPr>
            <w:tcW w:w="1298" w:type="dxa"/>
            <w:tcBorders>
              <w:top w:val="nil"/>
              <w:left w:val="nil"/>
              <w:bottom w:val="single" w:sz="8" w:space="0" w:color="AEAAAA"/>
              <w:right w:val="single" w:sz="8" w:space="0" w:color="AEAAAA"/>
            </w:tcBorders>
            <w:shd w:val="clear" w:color="auto" w:fill="auto"/>
            <w:noWrap/>
            <w:vAlign w:val="center"/>
            <w:hideMark/>
          </w:tcPr>
          <w:p w14:paraId="44D295E3"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74.720</w:t>
            </w:r>
          </w:p>
        </w:tc>
        <w:tc>
          <w:tcPr>
            <w:tcW w:w="1298" w:type="dxa"/>
            <w:tcBorders>
              <w:top w:val="nil"/>
              <w:left w:val="nil"/>
              <w:bottom w:val="single" w:sz="8" w:space="0" w:color="AEAAAA"/>
              <w:right w:val="single" w:sz="8" w:space="0" w:color="AEAAAA"/>
            </w:tcBorders>
            <w:shd w:val="clear" w:color="auto" w:fill="auto"/>
            <w:noWrap/>
            <w:vAlign w:val="center"/>
            <w:hideMark/>
          </w:tcPr>
          <w:p w14:paraId="5DCCF5B6"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94.213</w:t>
            </w:r>
          </w:p>
        </w:tc>
        <w:tc>
          <w:tcPr>
            <w:tcW w:w="1302" w:type="dxa"/>
            <w:tcBorders>
              <w:top w:val="nil"/>
              <w:left w:val="nil"/>
              <w:bottom w:val="single" w:sz="8" w:space="0" w:color="AEAAAA"/>
              <w:right w:val="single" w:sz="8" w:space="0" w:color="AEAAAA"/>
            </w:tcBorders>
            <w:shd w:val="clear" w:color="auto" w:fill="auto"/>
            <w:vAlign w:val="center"/>
            <w:hideMark/>
          </w:tcPr>
          <w:p w14:paraId="1AFB3590" w14:textId="77777777" w:rsidR="00EA7CD3" w:rsidRPr="00582936" w:rsidRDefault="001A0F3B"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111.937</w:t>
            </w:r>
            <w:r w:rsidR="00EA7CD3" w:rsidRPr="00582936">
              <w:rPr>
                <w:rFonts w:ascii="Century Gothic" w:eastAsia="Times New Roman" w:hAnsi="Century Gothic" w:cs="Calibri"/>
                <w:b/>
                <w:bCs/>
                <w:color w:val="6E6E7C"/>
                <w:sz w:val="16"/>
                <w:szCs w:val="16"/>
                <w:lang w:eastAsia="es-EC"/>
              </w:rPr>
              <w:t> </w:t>
            </w:r>
          </w:p>
        </w:tc>
      </w:tr>
      <w:tr w:rsidR="0085217B" w:rsidRPr="00582936" w14:paraId="6BB3BAA5"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41C50E2B"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Minería</w:t>
            </w:r>
          </w:p>
        </w:tc>
        <w:tc>
          <w:tcPr>
            <w:tcW w:w="1298" w:type="dxa"/>
            <w:tcBorders>
              <w:top w:val="nil"/>
              <w:left w:val="nil"/>
              <w:bottom w:val="single" w:sz="8" w:space="0" w:color="AEAAAA"/>
              <w:right w:val="single" w:sz="8" w:space="0" w:color="AEAAAA"/>
            </w:tcBorders>
            <w:shd w:val="clear" w:color="auto" w:fill="auto"/>
            <w:noWrap/>
            <w:vAlign w:val="center"/>
            <w:hideMark/>
          </w:tcPr>
          <w:p w14:paraId="3FBD7025"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8.090</w:t>
            </w:r>
          </w:p>
        </w:tc>
        <w:tc>
          <w:tcPr>
            <w:tcW w:w="1298" w:type="dxa"/>
            <w:tcBorders>
              <w:top w:val="nil"/>
              <w:left w:val="nil"/>
              <w:bottom w:val="single" w:sz="8" w:space="0" w:color="AEAAAA"/>
              <w:right w:val="single" w:sz="8" w:space="0" w:color="AEAAAA"/>
            </w:tcBorders>
            <w:shd w:val="clear" w:color="auto" w:fill="auto"/>
            <w:noWrap/>
            <w:vAlign w:val="center"/>
            <w:hideMark/>
          </w:tcPr>
          <w:p w14:paraId="61842430"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12.596</w:t>
            </w:r>
          </w:p>
        </w:tc>
        <w:tc>
          <w:tcPr>
            <w:tcW w:w="1302" w:type="dxa"/>
            <w:tcBorders>
              <w:top w:val="nil"/>
              <w:left w:val="nil"/>
              <w:bottom w:val="single" w:sz="8" w:space="0" w:color="AEAAAA"/>
              <w:right w:val="single" w:sz="8" w:space="0" w:color="AEAAAA"/>
            </w:tcBorders>
            <w:shd w:val="clear" w:color="auto" w:fill="auto"/>
            <w:vAlign w:val="center"/>
            <w:hideMark/>
          </w:tcPr>
          <w:p w14:paraId="256D431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16.446</w:t>
            </w:r>
          </w:p>
        </w:tc>
      </w:tr>
      <w:tr w:rsidR="0085217B" w:rsidRPr="00582936" w14:paraId="24D2E037"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690C3E5B"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Manufactura</w:t>
            </w:r>
          </w:p>
        </w:tc>
        <w:tc>
          <w:tcPr>
            <w:tcW w:w="1298" w:type="dxa"/>
            <w:tcBorders>
              <w:top w:val="nil"/>
              <w:left w:val="nil"/>
              <w:bottom w:val="single" w:sz="8" w:space="0" w:color="AEAAAA"/>
              <w:right w:val="single" w:sz="8" w:space="0" w:color="AEAAAA"/>
            </w:tcBorders>
            <w:shd w:val="clear" w:color="auto" w:fill="auto"/>
            <w:noWrap/>
            <w:vAlign w:val="center"/>
            <w:hideMark/>
          </w:tcPr>
          <w:p w14:paraId="15C110FD"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29.018</w:t>
            </w:r>
          </w:p>
        </w:tc>
        <w:tc>
          <w:tcPr>
            <w:tcW w:w="1298" w:type="dxa"/>
            <w:tcBorders>
              <w:top w:val="nil"/>
              <w:left w:val="nil"/>
              <w:bottom w:val="single" w:sz="8" w:space="0" w:color="AEAAAA"/>
              <w:right w:val="single" w:sz="8" w:space="0" w:color="AEAAAA"/>
            </w:tcBorders>
            <w:shd w:val="clear" w:color="auto" w:fill="auto"/>
            <w:noWrap/>
            <w:vAlign w:val="center"/>
            <w:hideMark/>
          </w:tcPr>
          <w:p w14:paraId="2AB56AEA"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37.122</w:t>
            </w:r>
          </w:p>
        </w:tc>
        <w:tc>
          <w:tcPr>
            <w:tcW w:w="1302" w:type="dxa"/>
            <w:tcBorders>
              <w:top w:val="nil"/>
              <w:left w:val="nil"/>
              <w:bottom w:val="single" w:sz="8" w:space="0" w:color="AEAAAA"/>
              <w:right w:val="single" w:sz="8" w:space="0" w:color="AEAAAA"/>
            </w:tcBorders>
            <w:shd w:val="clear" w:color="auto" w:fill="auto"/>
            <w:vAlign w:val="center"/>
            <w:hideMark/>
          </w:tcPr>
          <w:p w14:paraId="0CD364E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43.859</w:t>
            </w:r>
          </w:p>
        </w:tc>
      </w:tr>
      <w:tr w:rsidR="0085217B" w:rsidRPr="00582936" w14:paraId="370E6911"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48F05FD8"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Construcción</w:t>
            </w:r>
          </w:p>
        </w:tc>
        <w:tc>
          <w:tcPr>
            <w:tcW w:w="1298" w:type="dxa"/>
            <w:tcBorders>
              <w:top w:val="nil"/>
              <w:left w:val="nil"/>
              <w:bottom w:val="single" w:sz="8" w:space="0" w:color="AEAAAA"/>
              <w:right w:val="single" w:sz="8" w:space="0" w:color="AEAAAA"/>
            </w:tcBorders>
            <w:shd w:val="clear" w:color="auto" w:fill="auto"/>
            <w:noWrap/>
            <w:vAlign w:val="center"/>
            <w:hideMark/>
          </w:tcPr>
          <w:p w14:paraId="4899AE5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2.606</w:t>
            </w:r>
          </w:p>
        </w:tc>
        <w:tc>
          <w:tcPr>
            <w:tcW w:w="1298" w:type="dxa"/>
            <w:tcBorders>
              <w:top w:val="nil"/>
              <w:left w:val="nil"/>
              <w:bottom w:val="single" w:sz="8" w:space="0" w:color="AEAAAA"/>
              <w:right w:val="single" w:sz="8" w:space="0" w:color="AEAAAA"/>
            </w:tcBorders>
            <w:shd w:val="clear" w:color="auto" w:fill="auto"/>
            <w:noWrap/>
            <w:vAlign w:val="center"/>
            <w:hideMark/>
          </w:tcPr>
          <w:p w14:paraId="4AC24DBE"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2.981</w:t>
            </w:r>
          </w:p>
        </w:tc>
        <w:tc>
          <w:tcPr>
            <w:tcW w:w="1302" w:type="dxa"/>
            <w:tcBorders>
              <w:top w:val="nil"/>
              <w:left w:val="nil"/>
              <w:bottom w:val="single" w:sz="8" w:space="0" w:color="AEAAAA"/>
              <w:right w:val="single" w:sz="8" w:space="0" w:color="AEAAAA"/>
            </w:tcBorders>
            <w:shd w:val="clear" w:color="auto" w:fill="auto"/>
            <w:vAlign w:val="center"/>
            <w:hideMark/>
          </w:tcPr>
          <w:p w14:paraId="1B2D61D2"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3.373</w:t>
            </w:r>
          </w:p>
        </w:tc>
      </w:tr>
      <w:tr w:rsidR="0085217B" w:rsidRPr="00582936" w14:paraId="0573EE16"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3EE1785C"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Comercio</w:t>
            </w:r>
          </w:p>
        </w:tc>
        <w:tc>
          <w:tcPr>
            <w:tcW w:w="1298" w:type="dxa"/>
            <w:tcBorders>
              <w:top w:val="nil"/>
              <w:left w:val="nil"/>
              <w:bottom w:val="single" w:sz="8" w:space="0" w:color="AEAAAA"/>
              <w:right w:val="single" w:sz="8" w:space="0" w:color="AEAAAA"/>
            </w:tcBorders>
            <w:shd w:val="clear" w:color="auto" w:fill="auto"/>
            <w:noWrap/>
            <w:vAlign w:val="center"/>
            <w:hideMark/>
          </w:tcPr>
          <w:p w14:paraId="6AD32A53"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11.290</w:t>
            </w:r>
          </w:p>
        </w:tc>
        <w:tc>
          <w:tcPr>
            <w:tcW w:w="1298" w:type="dxa"/>
            <w:tcBorders>
              <w:top w:val="nil"/>
              <w:left w:val="nil"/>
              <w:bottom w:val="single" w:sz="8" w:space="0" w:color="AEAAAA"/>
              <w:right w:val="single" w:sz="8" w:space="0" w:color="AEAAAA"/>
            </w:tcBorders>
            <w:shd w:val="clear" w:color="auto" w:fill="auto"/>
            <w:noWrap/>
            <w:vAlign w:val="center"/>
            <w:hideMark/>
          </w:tcPr>
          <w:p w14:paraId="420BA83D"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13.393</w:t>
            </w:r>
          </w:p>
        </w:tc>
        <w:tc>
          <w:tcPr>
            <w:tcW w:w="1302" w:type="dxa"/>
            <w:tcBorders>
              <w:top w:val="nil"/>
              <w:left w:val="nil"/>
              <w:bottom w:val="single" w:sz="8" w:space="0" w:color="AEAAAA"/>
              <w:right w:val="single" w:sz="8" w:space="0" w:color="AEAAAA"/>
            </w:tcBorders>
            <w:shd w:val="clear" w:color="auto" w:fill="auto"/>
            <w:vAlign w:val="center"/>
            <w:hideMark/>
          </w:tcPr>
          <w:p w14:paraId="54421030"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16.287</w:t>
            </w:r>
          </w:p>
        </w:tc>
      </w:tr>
      <w:tr w:rsidR="0085217B" w:rsidRPr="00582936" w14:paraId="0C2BB341"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4B818401"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Servicios</w:t>
            </w:r>
          </w:p>
        </w:tc>
        <w:tc>
          <w:tcPr>
            <w:tcW w:w="1298" w:type="dxa"/>
            <w:tcBorders>
              <w:top w:val="nil"/>
              <w:left w:val="nil"/>
              <w:bottom w:val="single" w:sz="8" w:space="0" w:color="AEAAAA"/>
              <w:right w:val="single" w:sz="8" w:space="0" w:color="AEAAAA"/>
            </w:tcBorders>
            <w:shd w:val="clear" w:color="auto" w:fill="auto"/>
            <w:noWrap/>
            <w:vAlign w:val="center"/>
            <w:hideMark/>
          </w:tcPr>
          <w:p w14:paraId="42B1F52D"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23.716</w:t>
            </w:r>
          </w:p>
        </w:tc>
        <w:tc>
          <w:tcPr>
            <w:tcW w:w="1298" w:type="dxa"/>
            <w:tcBorders>
              <w:top w:val="nil"/>
              <w:left w:val="nil"/>
              <w:bottom w:val="single" w:sz="8" w:space="0" w:color="AEAAAA"/>
              <w:right w:val="single" w:sz="8" w:space="0" w:color="AEAAAA"/>
            </w:tcBorders>
            <w:shd w:val="clear" w:color="auto" w:fill="auto"/>
            <w:noWrap/>
            <w:vAlign w:val="center"/>
            <w:hideMark/>
          </w:tcPr>
          <w:p w14:paraId="40179EE2"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28.121</w:t>
            </w:r>
          </w:p>
        </w:tc>
        <w:tc>
          <w:tcPr>
            <w:tcW w:w="1302" w:type="dxa"/>
            <w:tcBorders>
              <w:top w:val="nil"/>
              <w:left w:val="nil"/>
              <w:bottom w:val="single" w:sz="8" w:space="0" w:color="AEAAAA"/>
              <w:right w:val="single" w:sz="8" w:space="0" w:color="AEAAAA"/>
            </w:tcBorders>
            <w:shd w:val="clear" w:color="auto" w:fill="auto"/>
            <w:vAlign w:val="center"/>
            <w:hideMark/>
          </w:tcPr>
          <w:p w14:paraId="65370E47"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31.972</w:t>
            </w:r>
          </w:p>
        </w:tc>
      </w:tr>
      <w:tr w:rsidR="0085217B" w:rsidRPr="00582936" w14:paraId="27FA9EEE" w14:textId="77777777" w:rsidTr="00460317">
        <w:trPr>
          <w:trHeight w:val="280"/>
        </w:trPr>
        <w:tc>
          <w:tcPr>
            <w:tcW w:w="9575" w:type="dxa"/>
            <w:gridSpan w:val="4"/>
            <w:tcBorders>
              <w:top w:val="single" w:sz="8" w:space="0" w:color="AEAAAA"/>
              <w:left w:val="single" w:sz="8" w:space="0" w:color="AEAAAA"/>
              <w:bottom w:val="single" w:sz="8" w:space="0" w:color="AEAAAA"/>
              <w:right w:val="single" w:sz="8" w:space="0" w:color="AEAAAA"/>
            </w:tcBorders>
            <w:shd w:val="clear" w:color="auto" w:fill="4266CE"/>
            <w:vAlign w:val="center"/>
            <w:hideMark/>
          </w:tcPr>
          <w:p w14:paraId="038888F4"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460317">
              <w:rPr>
                <w:rFonts w:ascii="Century Gothic" w:eastAsia="Times New Roman" w:hAnsi="Century Gothic" w:cs="Calibri"/>
                <w:b/>
                <w:bCs/>
                <w:color w:val="FFFFFF" w:themeColor="background1"/>
                <w:sz w:val="16"/>
                <w:szCs w:val="16"/>
                <w:lang w:eastAsia="es-EC"/>
              </w:rPr>
              <w:t>Consumo intermedio empresarial (millones de dólares)</w:t>
            </w:r>
          </w:p>
        </w:tc>
      </w:tr>
      <w:tr w:rsidR="0085217B" w:rsidRPr="00582936" w14:paraId="4AE95552"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54AFE355" w14:textId="77777777" w:rsidR="00EA7CD3" w:rsidRPr="00582936" w:rsidRDefault="00EA7CD3" w:rsidP="00EA7CD3">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Total Nacional</w:t>
            </w:r>
          </w:p>
        </w:tc>
        <w:tc>
          <w:tcPr>
            <w:tcW w:w="1298" w:type="dxa"/>
            <w:tcBorders>
              <w:top w:val="nil"/>
              <w:left w:val="nil"/>
              <w:bottom w:val="single" w:sz="8" w:space="0" w:color="AEAAAA"/>
              <w:right w:val="single" w:sz="8" w:space="0" w:color="AEAAAA"/>
            </w:tcBorders>
            <w:shd w:val="clear" w:color="auto" w:fill="auto"/>
            <w:noWrap/>
            <w:vAlign w:val="center"/>
            <w:hideMark/>
          </w:tcPr>
          <w:p w14:paraId="7AB109AB"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45.946</w:t>
            </w:r>
          </w:p>
        </w:tc>
        <w:tc>
          <w:tcPr>
            <w:tcW w:w="1298" w:type="dxa"/>
            <w:tcBorders>
              <w:top w:val="nil"/>
              <w:left w:val="nil"/>
              <w:bottom w:val="single" w:sz="8" w:space="0" w:color="AEAAAA"/>
              <w:right w:val="single" w:sz="8" w:space="0" w:color="AEAAAA"/>
            </w:tcBorders>
            <w:shd w:val="clear" w:color="auto" w:fill="auto"/>
            <w:noWrap/>
            <w:vAlign w:val="center"/>
            <w:hideMark/>
          </w:tcPr>
          <w:p w14:paraId="74CCE47F"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54.810</w:t>
            </w:r>
          </w:p>
        </w:tc>
        <w:tc>
          <w:tcPr>
            <w:tcW w:w="1302" w:type="dxa"/>
            <w:tcBorders>
              <w:top w:val="nil"/>
              <w:left w:val="nil"/>
              <w:bottom w:val="single" w:sz="8" w:space="0" w:color="AEAAAA"/>
              <w:right w:val="single" w:sz="8" w:space="0" w:color="AEAAAA"/>
            </w:tcBorders>
            <w:shd w:val="clear" w:color="auto" w:fill="auto"/>
            <w:vAlign w:val="center"/>
            <w:hideMark/>
          </w:tcPr>
          <w:p w14:paraId="7366D43E"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 </w:t>
            </w:r>
            <w:r w:rsidR="001A0F3B" w:rsidRPr="00582936">
              <w:rPr>
                <w:rFonts w:ascii="Century Gothic" w:eastAsia="Times New Roman" w:hAnsi="Century Gothic" w:cs="Calibri"/>
                <w:b/>
                <w:bCs/>
                <w:color w:val="6E6E7C"/>
                <w:sz w:val="16"/>
                <w:szCs w:val="16"/>
                <w:lang w:eastAsia="es-EC"/>
              </w:rPr>
              <w:t>67.226</w:t>
            </w:r>
          </w:p>
        </w:tc>
      </w:tr>
      <w:tr w:rsidR="0085217B" w:rsidRPr="00582936" w14:paraId="0FEB1A1F"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747AFBEF"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Minería</w:t>
            </w:r>
          </w:p>
        </w:tc>
        <w:tc>
          <w:tcPr>
            <w:tcW w:w="1298" w:type="dxa"/>
            <w:tcBorders>
              <w:top w:val="nil"/>
              <w:left w:val="nil"/>
              <w:bottom w:val="single" w:sz="8" w:space="0" w:color="AEAAAA"/>
              <w:right w:val="single" w:sz="8" w:space="0" w:color="AEAAAA"/>
            </w:tcBorders>
            <w:shd w:val="clear" w:color="auto" w:fill="auto"/>
            <w:noWrap/>
            <w:vAlign w:val="center"/>
            <w:hideMark/>
          </w:tcPr>
          <w:p w14:paraId="2D1FF52A"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1.932</w:t>
            </w:r>
          </w:p>
        </w:tc>
        <w:tc>
          <w:tcPr>
            <w:tcW w:w="1298" w:type="dxa"/>
            <w:tcBorders>
              <w:top w:val="nil"/>
              <w:left w:val="nil"/>
              <w:bottom w:val="single" w:sz="8" w:space="0" w:color="AEAAAA"/>
              <w:right w:val="single" w:sz="8" w:space="0" w:color="AEAAAA"/>
            </w:tcBorders>
            <w:shd w:val="clear" w:color="auto" w:fill="auto"/>
            <w:noWrap/>
            <w:vAlign w:val="center"/>
            <w:hideMark/>
          </w:tcPr>
          <w:p w14:paraId="3E0D111E"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2.603</w:t>
            </w:r>
          </w:p>
        </w:tc>
        <w:tc>
          <w:tcPr>
            <w:tcW w:w="1302" w:type="dxa"/>
            <w:tcBorders>
              <w:top w:val="nil"/>
              <w:left w:val="nil"/>
              <w:bottom w:val="single" w:sz="8" w:space="0" w:color="AEAAAA"/>
              <w:right w:val="single" w:sz="8" w:space="0" w:color="AEAAAA"/>
            </w:tcBorders>
            <w:shd w:val="clear" w:color="auto" w:fill="auto"/>
            <w:vAlign w:val="center"/>
            <w:hideMark/>
          </w:tcPr>
          <w:p w14:paraId="165682F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3.294</w:t>
            </w:r>
          </w:p>
        </w:tc>
      </w:tr>
      <w:tr w:rsidR="0085217B" w:rsidRPr="00582936" w14:paraId="7426A1BA"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4955C950"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Manufactura</w:t>
            </w:r>
          </w:p>
        </w:tc>
        <w:tc>
          <w:tcPr>
            <w:tcW w:w="1298" w:type="dxa"/>
            <w:tcBorders>
              <w:top w:val="nil"/>
              <w:left w:val="nil"/>
              <w:bottom w:val="single" w:sz="8" w:space="0" w:color="AEAAAA"/>
              <w:right w:val="single" w:sz="8" w:space="0" w:color="AEAAAA"/>
            </w:tcBorders>
            <w:shd w:val="clear" w:color="auto" w:fill="auto"/>
            <w:noWrap/>
            <w:vAlign w:val="center"/>
            <w:hideMark/>
          </w:tcPr>
          <w:p w14:paraId="7B18E8C9"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24.345</w:t>
            </w:r>
          </w:p>
        </w:tc>
        <w:tc>
          <w:tcPr>
            <w:tcW w:w="1298" w:type="dxa"/>
            <w:tcBorders>
              <w:top w:val="nil"/>
              <w:left w:val="nil"/>
              <w:bottom w:val="single" w:sz="8" w:space="0" w:color="AEAAAA"/>
              <w:right w:val="single" w:sz="8" w:space="0" w:color="AEAAAA"/>
            </w:tcBorders>
            <w:shd w:val="clear" w:color="auto" w:fill="auto"/>
            <w:noWrap/>
            <w:vAlign w:val="center"/>
            <w:hideMark/>
          </w:tcPr>
          <w:p w14:paraId="05A7685A"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29.060</w:t>
            </w:r>
          </w:p>
        </w:tc>
        <w:tc>
          <w:tcPr>
            <w:tcW w:w="1302" w:type="dxa"/>
            <w:tcBorders>
              <w:top w:val="nil"/>
              <w:left w:val="nil"/>
              <w:bottom w:val="single" w:sz="8" w:space="0" w:color="AEAAAA"/>
              <w:right w:val="single" w:sz="8" w:space="0" w:color="AEAAAA"/>
            </w:tcBorders>
            <w:shd w:val="clear" w:color="auto" w:fill="auto"/>
            <w:vAlign w:val="center"/>
            <w:hideMark/>
          </w:tcPr>
          <w:p w14:paraId="025AE59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35.603</w:t>
            </w:r>
          </w:p>
        </w:tc>
      </w:tr>
      <w:tr w:rsidR="0085217B" w:rsidRPr="00582936" w14:paraId="079F0C91"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09174E8B"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Construcción</w:t>
            </w:r>
          </w:p>
        </w:tc>
        <w:tc>
          <w:tcPr>
            <w:tcW w:w="1298" w:type="dxa"/>
            <w:tcBorders>
              <w:top w:val="nil"/>
              <w:left w:val="nil"/>
              <w:bottom w:val="single" w:sz="8" w:space="0" w:color="AEAAAA"/>
              <w:right w:val="single" w:sz="8" w:space="0" w:color="AEAAAA"/>
            </w:tcBorders>
            <w:shd w:val="clear" w:color="auto" w:fill="auto"/>
            <w:noWrap/>
            <w:vAlign w:val="center"/>
            <w:hideMark/>
          </w:tcPr>
          <w:p w14:paraId="5E2CD92D"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1.883</w:t>
            </w:r>
          </w:p>
        </w:tc>
        <w:tc>
          <w:tcPr>
            <w:tcW w:w="1298" w:type="dxa"/>
            <w:tcBorders>
              <w:top w:val="nil"/>
              <w:left w:val="nil"/>
              <w:bottom w:val="single" w:sz="8" w:space="0" w:color="AEAAAA"/>
              <w:right w:val="single" w:sz="8" w:space="0" w:color="AEAAAA"/>
            </w:tcBorders>
            <w:shd w:val="clear" w:color="auto" w:fill="auto"/>
            <w:noWrap/>
            <w:vAlign w:val="center"/>
            <w:hideMark/>
          </w:tcPr>
          <w:p w14:paraId="79947367"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2.074</w:t>
            </w:r>
          </w:p>
        </w:tc>
        <w:tc>
          <w:tcPr>
            <w:tcW w:w="1302" w:type="dxa"/>
            <w:tcBorders>
              <w:top w:val="nil"/>
              <w:left w:val="nil"/>
              <w:bottom w:val="single" w:sz="8" w:space="0" w:color="AEAAAA"/>
              <w:right w:val="single" w:sz="8" w:space="0" w:color="AEAAAA"/>
            </w:tcBorders>
            <w:shd w:val="clear" w:color="auto" w:fill="auto"/>
            <w:vAlign w:val="center"/>
            <w:hideMark/>
          </w:tcPr>
          <w:p w14:paraId="4F1C3160" w14:textId="77777777" w:rsidR="00EA7CD3" w:rsidRPr="00582936" w:rsidRDefault="00EA7CD3" w:rsidP="001A0F3B">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2.309</w:t>
            </w:r>
          </w:p>
        </w:tc>
      </w:tr>
      <w:tr w:rsidR="0085217B" w:rsidRPr="00582936" w14:paraId="75938FA0"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7BB1BE3C"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Comercio</w:t>
            </w:r>
          </w:p>
        </w:tc>
        <w:tc>
          <w:tcPr>
            <w:tcW w:w="1298" w:type="dxa"/>
            <w:tcBorders>
              <w:top w:val="nil"/>
              <w:left w:val="nil"/>
              <w:bottom w:val="single" w:sz="8" w:space="0" w:color="AEAAAA"/>
              <w:right w:val="single" w:sz="8" w:space="0" w:color="AEAAAA"/>
            </w:tcBorders>
            <w:shd w:val="clear" w:color="auto" w:fill="auto"/>
            <w:noWrap/>
            <w:vAlign w:val="center"/>
            <w:hideMark/>
          </w:tcPr>
          <w:p w14:paraId="6CDC0066"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4.696</w:t>
            </w:r>
          </w:p>
        </w:tc>
        <w:tc>
          <w:tcPr>
            <w:tcW w:w="1298" w:type="dxa"/>
            <w:tcBorders>
              <w:top w:val="nil"/>
              <w:left w:val="nil"/>
              <w:bottom w:val="single" w:sz="8" w:space="0" w:color="AEAAAA"/>
              <w:right w:val="single" w:sz="8" w:space="0" w:color="AEAAAA"/>
            </w:tcBorders>
            <w:shd w:val="clear" w:color="auto" w:fill="auto"/>
            <w:noWrap/>
            <w:vAlign w:val="center"/>
            <w:hideMark/>
          </w:tcPr>
          <w:p w14:paraId="4F084BF4"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5.705</w:t>
            </w:r>
          </w:p>
        </w:tc>
        <w:tc>
          <w:tcPr>
            <w:tcW w:w="1302" w:type="dxa"/>
            <w:tcBorders>
              <w:top w:val="nil"/>
              <w:left w:val="nil"/>
              <w:bottom w:val="single" w:sz="8" w:space="0" w:color="AEAAAA"/>
              <w:right w:val="single" w:sz="8" w:space="0" w:color="AEAAAA"/>
            </w:tcBorders>
            <w:shd w:val="clear" w:color="auto" w:fill="auto"/>
            <w:vAlign w:val="center"/>
            <w:hideMark/>
          </w:tcPr>
          <w:p w14:paraId="0C56B612"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7.620</w:t>
            </w:r>
          </w:p>
        </w:tc>
      </w:tr>
      <w:tr w:rsidR="0085217B" w:rsidRPr="00582936" w14:paraId="23CEEF69"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38F9EB15"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Servicios</w:t>
            </w:r>
          </w:p>
        </w:tc>
        <w:tc>
          <w:tcPr>
            <w:tcW w:w="1298" w:type="dxa"/>
            <w:tcBorders>
              <w:top w:val="nil"/>
              <w:left w:val="nil"/>
              <w:bottom w:val="single" w:sz="8" w:space="0" w:color="AEAAAA"/>
              <w:right w:val="single" w:sz="8" w:space="0" w:color="AEAAAA"/>
            </w:tcBorders>
            <w:shd w:val="clear" w:color="auto" w:fill="auto"/>
            <w:noWrap/>
            <w:vAlign w:val="center"/>
            <w:hideMark/>
          </w:tcPr>
          <w:p w14:paraId="66BC4524"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13.091</w:t>
            </w:r>
          </w:p>
        </w:tc>
        <w:tc>
          <w:tcPr>
            <w:tcW w:w="1298" w:type="dxa"/>
            <w:tcBorders>
              <w:top w:val="nil"/>
              <w:left w:val="nil"/>
              <w:bottom w:val="single" w:sz="8" w:space="0" w:color="AEAAAA"/>
              <w:right w:val="single" w:sz="8" w:space="0" w:color="AEAAAA"/>
            </w:tcBorders>
            <w:shd w:val="clear" w:color="auto" w:fill="auto"/>
            <w:noWrap/>
            <w:vAlign w:val="center"/>
            <w:hideMark/>
          </w:tcPr>
          <w:p w14:paraId="5FB55EFA"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15.368</w:t>
            </w:r>
          </w:p>
        </w:tc>
        <w:tc>
          <w:tcPr>
            <w:tcW w:w="1302" w:type="dxa"/>
            <w:tcBorders>
              <w:top w:val="nil"/>
              <w:left w:val="nil"/>
              <w:bottom w:val="single" w:sz="8" w:space="0" w:color="AEAAAA"/>
              <w:right w:val="single" w:sz="8" w:space="0" w:color="AEAAAA"/>
            </w:tcBorders>
            <w:shd w:val="clear" w:color="auto" w:fill="auto"/>
            <w:vAlign w:val="center"/>
            <w:hideMark/>
          </w:tcPr>
          <w:p w14:paraId="4C09820C" w14:textId="77777777" w:rsidR="00EA7CD3" w:rsidRPr="00582936" w:rsidRDefault="00EA7CD3" w:rsidP="001A0F3B">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18.399</w:t>
            </w:r>
          </w:p>
        </w:tc>
      </w:tr>
      <w:tr w:rsidR="0085217B" w:rsidRPr="00582936" w14:paraId="65AB33B8" w14:textId="77777777" w:rsidTr="00460317">
        <w:trPr>
          <w:trHeight w:val="280"/>
        </w:trPr>
        <w:tc>
          <w:tcPr>
            <w:tcW w:w="9575" w:type="dxa"/>
            <w:gridSpan w:val="4"/>
            <w:tcBorders>
              <w:top w:val="single" w:sz="8" w:space="0" w:color="AEAAAA"/>
              <w:left w:val="single" w:sz="8" w:space="0" w:color="AEAAAA"/>
              <w:bottom w:val="single" w:sz="8" w:space="0" w:color="AEAAAA"/>
              <w:right w:val="single" w:sz="8" w:space="0" w:color="AEAAAA"/>
            </w:tcBorders>
            <w:shd w:val="clear" w:color="auto" w:fill="4266CE"/>
            <w:vAlign w:val="center"/>
            <w:hideMark/>
          </w:tcPr>
          <w:p w14:paraId="54C35BF2"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460317">
              <w:rPr>
                <w:rFonts w:ascii="Century Gothic" w:eastAsia="Times New Roman" w:hAnsi="Century Gothic" w:cs="Calibri"/>
                <w:b/>
                <w:bCs/>
                <w:color w:val="FFFFFF" w:themeColor="background1"/>
                <w:sz w:val="16"/>
                <w:szCs w:val="16"/>
                <w:lang w:eastAsia="es-EC"/>
              </w:rPr>
              <w:t>Valor agregado empresarial (millones de dólares)</w:t>
            </w:r>
          </w:p>
        </w:tc>
      </w:tr>
      <w:tr w:rsidR="0085217B" w:rsidRPr="00582936" w14:paraId="479341C3"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73EC0DC1" w14:textId="77777777" w:rsidR="00EA7CD3" w:rsidRPr="00582936" w:rsidRDefault="00EA7CD3" w:rsidP="00EA7CD3">
            <w:pP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Total Nacional</w:t>
            </w:r>
          </w:p>
        </w:tc>
        <w:tc>
          <w:tcPr>
            <w:tcW w:w="1298" w:type="dxa"/>
            <w:tcBorders>
              <w:top w:val="nil"/>
              <w:left w:val="nil"/>
              <w:bottom w:val="single" w:sz="8" w:space="0" w:color="AEAAAA"/>
              <w:right w:val="single" w:sz="8" w:space="0" w:color="AEAAAA"/>
            </w:tcBorders>
            <w:shd w:val="clear" w:color="auto" w:fill="auto"/>
            <w:noWrap/>
            <w:vAlign w:val="center"/>
            <w:hideMark/>
          </w:tcPr>
          <w:p w14:paraId="41D8A53E"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28.775</w:t>
            </w:r>
          </w:p>
        </w:tc>
        <w:tc>
          <w:tcPr>
            <w:tcW w:w="1298" w:type="dxa"/>
            <w:tcBorders>
              <w:top w:val="nil"/>
              <w:left w:val="nil"/>
              <w:bottom w:val="single" w:sz="8" w:space="0" w:color="AEAAAA"/>
              <w:right w:val="single" w:sz="8" w:space="0" w:color="AEAAAA"/>
            </w:tcBorders>
            <w:shd w:val="clear" w:color="auto" w:fill="auto"/>
            <w:noWrap/>
            <w:vAlign w:val="center"/>
            <w:hideMark/>
          </w:tcPr>
          <w:p w14:paraId="2F480661" w14:textId="77777777" w:rsidR="00EA7CD3" w:rsidRPr="00582936" w:rsidRDefault="00EA7CD3"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39.401</w:t>
            </w:r>
          </w:p>
        </w:tc>
        <w:tc>
          <w:tcPr>
            <w:tcW w:w="1302" w:type="dxa"/>
            <w:tcBorders>
              <w:top w:val="nil"/>
              <w:left w:val="nil"/>
              <w:bottom w:val="single" w:sz="8" w:space="0" w:color="AEAAAA"/>
              <w:right w:val="single" w:sz="8" w:space="0" w:color="AEAAAA"/>
            </w:tcBorders>
            <w:shd w:val="clear" w:color="auto" w:fill="auto"/>
            <w:vAlign w:val="center"/>
            <w:hideMark/>
          </w:tcPr>
          <w:p w14:paraId="79297C52" w14:textId="77777777" w:rsidR="00EA7CD3" w:rsidRPr="00582936" w:rsidRDefault="001A0F3B" w:rsidP="00EA7CD3">
            <w:pPr>
              <w:jc w:val="center"/>
              <w:rPr>
                <w:rFonts w:ascii="Century Gothic" w:eastAsia="Times New Roman" w:hAnsi="Century Gothic" w:cs="Calibri"/>
                <w:b/>
                <w:bCs/>
                <w:color w:val="6E6E7C"/>
                <w:sz w:val="16"/>
                <w:szCs w:val="16"/>
                <w:lang w:eastAsia="es-EC"/>
              </w:rPr>
            </w:pPr>
            <w:r w:rsidRPr="00582936">
              <w:rPr>
                <w:rFonts w:ascii="Century Gothic" w:eastAsia="Times New Roman" w:hAnsi="Century Gothic" w:cs="Calibri"/>
                <w:b/>
                <w:bCs/>
                <w:color w:val="6E6E7C"/>
                <w:sz w:val="16"/>
                <w:szCs w:val="16"/>
                <w:lang w:eastAsia="es-EC"/>
              </w:rPr>
              <w:t>44.710</w:t>
            </w:r>
            <w:r w:rsidR="00EA7CD3" w:rsidRPr="00582936">
              <w:rPr>
                <w:rFonts w:ascii="Century Gothic" w:eastAsia="Times New Roman" w:hAnsi="Century Gothic" w:cs="Calibri"/>
                <w:b/>
                <w:bCs/>
                <w:color w:val="6E6E7C"/>
                <w:sz w:val="16"/>
                <w:szCs w:val="16"/>
                <w:lang w:eastAsia="es-EC"/>
              </w:rPr>
              <w:t> </w:t>
            </w:r>
          </w:p>
        </w:tc>
      </w:tr>
      <w:tr w:rsidR="0085217B" w:rsidRPr="00582936" w14:paraId="6F535FC8"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774EA5EF"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Minería</w:t>
            </w:r>
          </w:p>
        </w:tc>
        <w:tc>
          <w:tcPr>
            <w:tcW w:w="1298" w:type="dxa"/>
            <w:tcBorders>
              <w:top w:val="nil"/>
              <w:left w:val="nil"/>
              <w:bottom w:val="single" w:sz="8" w:space="0" w:color="AEAAAA"/>
              <w:right w:val="single" w:sz="8" w:space="0" w:color="AEAAAA"/>
            </w:tcBorders>
            <w:shd w:val="clear" w:color="auto" w:fill="auto"/>
            <w:noWrap/>
            <w:vAlign w:val="center"/>
            <w:hideMark/>
          </w:tcPr>
          <w:p w14:paraId="1F40C8B3"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6.159</w:t>
            </w:r>
          </w:p>
        </w:tc>
        <w:tc>
          <w:tcPr>
            <w:tcW w:w="1298" w:type="dxa"/>
            <w:tcBorders>
              <w:top w:val="nil"/>
              <w:left w:val="nil"/>
              <w:bottom w:val="single" w:sz="8" w:space="0" w:color="AEAAAA"/>
              <w:right w:val="single" w:sz="8" w:space="0" w:color="AEAAAA"/>
            </w:tcBorders>
            <w:shd w:val="clear" w:color="auto" w:fill="auto"/>
            <w:noWrap/>
            <w:vAlign w:val="center"/>
            <w:hideMark/>
          </w:tcPr>
          <w:p w14:paraId="13602CB5"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9.992</w:t>
            </w:r>
          </w:p>
        </w:tc>
        <w:tc>
          <w:tcPr>
            <w:tcW w:w="1302" w:type="dxa"/>
            <w:tcBorders>
              <w:top w:val="nil"/>
              <w:left w:val="nil"/>
              <w:bottom w:val="single" w:sz="8" w:space="0" w:color="AEAAAA"/>
              <w:right w:val="single" w:sz="8" w:space="0" w:color="AEAAAA"/>
            </w:tcBorders>
            <w:shd w:val="clear" w:color="auto" w:fill="auto"/>
            <w:vAlign w:val="center"/>
            <w:hideMark/>
          </w:tcPr>
          <w:p w14:paraId="6B9FDFA3"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13.151</w:t>
            </w:r>
          </w:p>
        </w:tc>
      </w:tr>
      <w:tr w:rsidR="0085217B" w:rsidRPr="00582936" w14:paraId="7769284B"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6C8E6753"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Manufactura</w:t>
            </w:r>
          </w:p>
        </w:tc>
        <w:tc>
          <w:tcPr>
            <w:tcW w:w="1298" w:type="dxa"/>
            <w:tcBorders>
              <w:top w:val="nil"/>
              <w:left w:val="nil"/>
              <w:bottom w:val="single" w:sz="8" w:space="0" w:color="AEAAAA"/>
              <w:right w:val="single" w:sz="8" w:space="0" w:color="AEAAAA"/>
            </w:tcBorders>
            <w:shd w:val="clear" w:color="auto" w:fill="auto"/>
            <w:noWrap/>
            <w:vAlign w:val="center"/>
            <w:hideMark/>
          </w:tcPr>
          <w:p w14:paraId="2E1EDC1B"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4.673</w:t>
            </w:r>
          </w:p>
        </w:tc>
        <w:tc>
          <w:tcPr>
            <w:tcW w:w="1298" w:type="dxa"/>
            <w:tcBorders>
              <w:top w:val="nil"/>
              <w:left w:val="nil"/>
              <w:bottom w:val="single" w:sz="8" w:space="0" w:color="AEAAAA"/>
              <w:right w:val="single" w:sz="8" w:space="0" w:color="AEAAAA"/>
            </w:tcBorders>
            <w:shd w:val="clear" w:color="auto" w:fill="auto"/>
            <w:noWrap/>
            <w:vAlign w:val="center"/>
            <w:hideMark/>
          </w:tcPr>
          <w:p w14:paraId="70EEC282"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8.061</w:t>
            </w:r>
          </w:p>
        </w:tc>
        <w:tc>
          <w:tcPr>
            <w:tcW w:w="1302" w:type="dxa"/>
            <w:tcBorders>
              <w:top w:val="nil"/>
              <w:left w:val="nil"/>
              <w:bottom w:val="single" w:sz="8" w:space="0" w:color="AEAAAA"/>
              <w:right w:val="single" w:sz="8" w:space="0" w:color="AEAAAA"/>
            </w:tcBorders>
            <w:shd w:val="clear" w:color="auto" w:fill="auto"/>
            <w:vAlign w:val="center"/>
            <w:hideMark/>
          </w:tcPr>
          <w:p w14:paraId="12A8F91A"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8.257</w:t>
            </w:r>
          </w:p>
        </w:tc>
      </w:tr>
      <w:tr w:rsidR="0085217B" w:rsidRPr="00582936" w14:paraId="0573C7F7"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183BBAE3"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Construcción</w:t>
            </w:r>
          </w:p>
        </w:tc>
        <w:tc>
          <w:tcPr>
            <w:tcW w:w="1298" w:type="dxa"/>
            <w:tcBorders>
              <w:top w:val="nil"/>
              <w:left w:val="nil"/>
              <w:bottom w:val="single" w:sz="8" w:space="0" w:color="AEAAAA"/>
              <w:right w:val="single" w:sz="8" w:space="0" w:color="AEAAAA"/>
            </w:tcBorders>
            <w:shd w:val="clear" w:color="auto" w:fill="auto"/>
            <w:noWrap/>
            <w:vAlign w:val="center"/>
            <w:hideMark/>
          </w:tcPr>
          <w:p w14:paraId="467D50D5"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724</w:t>
            </w:r>
          </w:p>
        </w:tc>
        <w:tc>
          <w:tcPr>
            <w:tcW w:w="1298" w:type="dxa"/>
            <w:tcBorders>
              <w:top w:val="nil"/>
              <w:left w:val="nil"/>
              <w:bottom w:val="single" w:sz="8" w:space="0" w:color="AEAAAA"/>
              <w:right w:val="single" w:sz="8" w:space="0" w:color="AEAAAA"/>
            </w:tcBorders>
            <w:shd w:val="clear" w:color="auto" w:fill="auto"/>
            <w:noWrap/>
            <w:vAlign w:val="center"/>
            <w:hideMark/>
          </w:tcPr>
          <w:p w14:paraId="5092E853"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907</w:t>
            </w:r>
          </w:p>
        </w:tc>
        <w:tc>
          <w:tcPr>
            <w:tcW w:w="1302" w:type="dxa"/>
            <w:tcBorders>
              <w:top w:val="nil"/>
              <w:left w:val="nil"/>
              <w:bottom w:val="single" w:sz="8" w:space="0" w:color="AEAAAA"/>
              <w:right w:val="single" w:sz="8" w:space="0" w:color="AEAAAA"/>
            </w:tcBorders>
            <w:shd w:val="clear" w:color="auto" w:fill="auto"/>
            <w:vAlign w:val="center"/>
            <w:hideMark/>
          </w:tcPr>
          <w:p w14:paraId="2EE7960A"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1.063</w:t>
            </w:r>
          </w:p>
        </w:tc>
      </w:tr>
      <w:tr w:rsidR="0085217B" w:rsidRPr="00582936" w14:paraId="1E653265"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45CB0966"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Comercio</w:t>
            </w:r>
          </w:p>
        </w:tc>
        <w:tc>
          <w:tcPr>
            <w:tcW w:w="1298" w:type="dxa"/>
            <w:tcBorders>
              <w:top w:val="nil"/>
              <w:left w:val="nil"/>
              <w:bottom w:val="single" w:sz="8" w:space="0" w:color="AEAAAA"/>
              <w:right w:val="single" w:sz="8" w:space="0" w:color="AEAAAA"/>
            </w:tcBorders>
            <w:shd w:val="clear" w:color="auto" w:fill="auto"/>
            <w:noWrap/>
            <w:vAlign w:val="center"/>
            <w:hideMark/>
          </w:tcPr>
          <w:p w14:paraId="19347083"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6.594</w:t>
            </w:r>
          </w:p>
        </w:tc>
        <w:tc>
          <w:tcPr>
            <w:tcW w:w="1298" w:type="dxa"/>
            <w:tcBorders>
              <w:top w:val="nil"/>
              <w:left w:val="nil"/>
              <w:bottom w:val="single" w:sz="8" w:space="0" w:color="AEAAAA"/>
              <w:right w:val="single" w:sz="8" w:space="0" w:color="AEAAAA"/>
            </w:tcBorders>
            <w:shd w:val="clear" w:color="auto" w:fill="auto"/>
            <w:noWrap/>
            <w:vAlign w:val="center"/>
            <w:hideMark/>
          </w:tcPr>
          <w:p w14:paraId="0BCD1EFF"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7.688</w:t>
            </w:r>
          </w:p>
        </w:tc>
        <w:tc>
          <w:tcPr>
            <w:tcW w:w="1302" w:type="dxa"/>
            <w:tcBorders>
              <w:top w:val="nil"/>
              <w:left w:val="nil"/>
              <w:bottom w:val="single" w:sz="8" w:space="0" w:color="AEAAAA"/>
              <w:right w:val="single" w:sz="8" w:space="0" w:color="AEAAAA"/>
            </w:tcBorders>
            <w:shd w:val="clear" w:color="auto" w:fill="auto"/>
            <w:vAlign w:val="center"/>
            <w:hideMark/>
          </w:tcPr>
          <w:p w14:paraId="572AC21A"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8.666</w:t>
            </w:r>
          </w:p>
        </w:tc>
      </w:tr>
      <w:tr w:rsidR="0085217B" w:rsidRPr="00582936" w14:paraId="4B018E45" w14:textId="77777777" w:rsidTr="00BA7D1F">
        <w:trPr>
          <w:trHeight w:val="252"/>
        </w:trPr>
        <w:tc>
          <w:tcPr>
            <w:tcW w:w="5676" w:type="dxa"/>
            <w:tcBorders>
              <w:top w:val="nil"/>
              <w:left w:val="single" w:sz="8" w:space="0" w:color="AEAAAA"/>
              <w:bottom w:val="single" w:sz="8" w:space="0" w:color="AEAAAA"/>
              <w:right w:val="single" w:sz="8" w:space="0" w:color="AEAAAA"/>
            </w:tcBorders>
            <w:shd w:val="clear" w:color="000000" w:fill="FFFFFF"/>
            <w:vAlign w:val="center"/>
            <w:hideMark/>
          </w:tcPr>
          <w:p w14:paraId="2B4B0317" w14:textId="77777777" w:rsidR="00EA7CD3" w:rsidRPr="00582936" w:rsidRDefault="00EA7CD3" w:rsidP="00EA7CD3">
            <w:pP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Servicios</w:t>
            </w:r>
          </w:p>
        </w:tc>
        <w:tc>
          <w:tcPr>
            <w:tcW w:w="1298" w:type="dxa"/>
            <w:tcBorders>
              <w:top w:val="nil"/>
              <w:left w:val="nil"/>
              <w:bottom w:val="single" w:sz="8" w:space="0" w:color="AEAAAA"/>
              <w:right w:val="single" w:sz="8" w:space="0" w:color="AEAAAA"/>
            </w:tcBorders>
            <w:shd w:val="clear" w:color="auto" w:fill="auto"/>
            <w:noWrap/>
            <w:vAlign w:val="center"/>
            <w:hideMark/>
          </w:tcPr>
          <w:p w14:paraId="77C25E3F"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10.625</w:t>
            </w:r>
          </w:p>
        </w:tc>
        <w:tc>
          <w:tcPr>
            <w:tcW w:w="1298" w:type="dxa"/>
            <w:tcBorders>
              <w:top w:val="nil"/>
              <w:left w:val="nil"/>
              <w:bottom w:val="single" w:sz="8" w:space="0" w:color="AEAAAA"/>
              <w:right w:val="single" w:sz="8" w:space="0" w:color="AEAAAA"/>
            </w:tcBorders>
            <w:shd w:val="clear" w:color="auto" w:fill="auto"/>
            <w:noWrap/>
            <w:vAlign w:val="center"/>
            <w:hideMark/>
          </w:tcPr>
          <w:p w14:paraId="76A68F5E"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12.753</w:t>
            </w:r>
          </w:p>
        </w:tc>
        <w:tc>
          <w:tcPr>
            <w:tcW w:w="1302" w:type="dxa"/>
            <w:tcBorders>
              <w:top w:val="nil"/>
              <w:left w:val="nil"/>
              <w:bottom w:val="single" w:sz="8" w:space="0" w:color="AEAAAA"/>
              <w:right w:val="single" w:sz="8" w:space="0" w:color="AEAAAA"/>
            </w:tcBorders>
            <w:shd w:val="clear" w:color="auto" w:fill="auto"/>
            <w:vAlign w:val="center"/>
            <w:hideMark/>
          </w:tcPr>
          <w:p w14:paraId="6ED70C58" w14:textId="77777777" w:rsidR="00EA7CD3" w:rsidRPr="00582936" w:rsidRDefault="00EA7CD3" w:rsidP="00EA7CD3">
            <w:pPr>
              <w:jc w:val="center"/>
              <w:rPr>
                <w:rFonts w:ascii="Century Gothic" w:eastAsia="Times New Roman" w:hAnsi="Century Gothic" w:cs="Calibri"/>
                <w:color w:val="6E6E7C"/>
                <w:sz w:val="16"/>
                <w:szCs w:val="16"/>
                <w:lang w:eastAsia="es-EC"/>
              </w:rPr>
            </w:pPr>
            <w:r w:rsidRPr="00582936">
              <w:rPr>
                <w:rFonts w:ascii="Century Gothic" w:eastAsia="Times New Roman" w:hAnsi="Century Gothic" w:cs="Calibri"/>
                <w:color w:val="6E6E7C"/>
                <w:sz w:val="16"/>
                <w:szCs w:val="16"/>
                <w:lang w:eastAsia="es-EC"/>
              </w:rPr>
              <w:t> </w:t>
            </w:r>
            <w:r w:rsidR="001A0F3B" w:rsidRPr="00582936">
              <w:rPr>
                <w:rFonts w:ascii="Century Gothic" w:eastAsia="Times New Roman" w:hAnsi="Century Gothic" w:cs="Calibri"/>
                <w:color w:val="6E6E7C"/>
                <w:sz w:val="16"/>
                <w:szCs w:val="16"/>
                <w:lang w:eastAsia="es-EC"/>
              </w:rPr>
              <w:t>13.573</w:t>
            </w:r>
          </w:p>
        </w:tc>
      </w:tr>
    </w:tbl>
    <w:p w14:paraId="15BBC21D" w14:textId="77777777" w:rsidR="00EA7CD3" w:rsidRPr="00582936" w:rsidRDefault="00EA7CD3" w:rsidP="00EA7CD3">
      <w:pPr>
        <w:spacing w:line="276" w:lineRule="auto"/>
        <w:ind w:left="708" w:firstLine="1"/>
        <w:rPr>
          <w:rFonts w:ascii="Century Gothic" w:eastAsia="Calibri" w:hAnsi="Century Gothic" w:cs="Times New Roman"/>
          <w:iCs/>
          <w:color w:val="6E6E7C"/>
          <w:sz w:val="16"/>
          <w:szCs w:val="16"/>
          <w:lang w:eastAsia="es-EC"/>
        </w:rPr>
      </w:pPr>
      <w:r w:rsidRPr="00582936">
        <w:rPr>
          <w:rFonts w:ascii="Century Gothic" w:eastAsia="Calibri" w:hAnsi="Century Gothic" w:cs="Times New Roman"/>
          <w:b/>
          <w:iCs/>
          <w:color w:val="6E6E7C"/>
          <w:sz w:val="16"/>
          <w:szCs w:val="16"/>
          <w:lang w:eastAsia="es-EC"/>
        </w:rPr>
        <w:t xml:space="preserve">Fuente: </w:t>
      </w:r>
      <w:r w:rsidRPr="00582936">
        <w:rPr>
          <w:rFonts w:ascii="Century Gothic" w:eastAsia="Calibri" w:hAnsi="Century Gothic" w:cs="Times New Roman"/>
          <w:bCs/>
          <w:iCs/>
          <w:color w:val="6E6E7C"/>
          <w:sz w:val="16"/>
          <w:szCs w:val="16"/>
        </w:rPr>
        <w:t>INEC, Encuesta Estructural Empresarial (ENESEM 2019-2022).</w:t>
      </w:r>
    </w:p>
    <w:p w14:paraId="5F128C3A" w14:textId="77777777" w:rsidR="00EA7CD3" w:rsidRPr="00582936" w:rsidRDefault="00EA7CD3" w:rsidP="00EA7CD3">
      <w:pPr>
        <w:spacing w:line="276" w:lineRule="auto"/>
        <w:ind w:left="708" w:right="4"/>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Elaboración:</w:t>
      </w:r>
      <w:r w:rsidRPr="00582936">
        <w:rPr>
          <w:rFonts w:ascii="Century Gothic" w:eastAsia="Calibri" w:hAnsi="Century Gothic" w:cs="Calibri"/>
          <w:iCs/>
          <w:color w:val="6E6E7C"/>
          <w:sz w:val="16"/>
          <w:szCs w:val="16"/>
        </w:rPr>
        <w:t xml:space="preserve"> Gestión de Estadísticas Estructurales (GESE).</w:t>
      </w:r>
    </w:p>
    <w:p w14:paraId="376E8791" w14:textId="77777777" w:rsidR="00E12A6A" w:rsidRDefault="00E12A6A" w:rsidP="00EA7CD3">
      <w:pPr>
        <w:spacing w:after="200" w:line="276" w:lineRule="auto"/>
        <w:ind w:right="4"/>
        <w:jc w:val="both"/>
        <w:rPr>
          <w:rFonts w:ascii="Century Gothic" w:eastAsia="Calibri" w:hAnsi="Century Gothic" w:cs="Times New Roman"/>
          <w:iCs/>
          <w:color w:val="6E6E7C"/>
          <w:sz w:val="21"/>
          <w:szCs w:val="21"/>
        </w:rPr>
      </w:pPr>
    </w:p>
    <w:p w14:paraId="659A8807" w14:textId="77777777" w:rsidR="00EA7CD3" w:rsidRPr="00582936" w:rsidRDefault="00EA7CD3" w:rsidP="00EA7CD3">
      <w:pPr>
        <w:spacing w:after="200" w:line="276" w:lineRule="auto"/>
        <w:ind w:right="4"/>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lastRenderedPageBreak/>
        <w:t xml:space="preserve">Para interpretar los resultados, se deberá considerar lo siguiente: </w:t>
      </w:r>
    </w:p>
    <w:p w14:paraId="74615127" w14:textId="77777777" w:rsidR="00EA7CD3" w:rsidRPr="00582936" w:rsidRDefault="00EA7CD3" w:rsidP="00E5524A">
      <w:pPr>
        <w:numPr>
          <w:ilvl w:val="0"/>
          <w:numId w:val="34"/>
        </w:numPr>
        <w:spacing w:after="200" w:line="276" w:lineRule="auto"/>
        <w:ind w:right="4"/>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 xml:space="preserve">Los datos del capítulo de “Estados de Resultados” se complementan con el registro administrativo del Servicio de Rentas Internas (Formulario 101-102), y están sujetos a actualizaciones a partir de las declaraciones sustitutivas; así, la estadística de esta edición, y en adelante, corresponde a cifras </w:t>
      </w:r>
      <w:proofErr w:type="spellStart"/>
      <w:r w:rsidRPr="00582936">
        <w:rPr>
          <w:rFonts w:ascii="Century Gothic" w:eastAsia="Calibri" w:hAnsi="Century Gothic" w:cs="Times New Roman"/>
          <w:iCs/>
          <w:color w:val="6E6E7C"/>
          <w:sz w:val="21"/>
          <w:szCs w:val="21"/>
        </w:rPr>
        <w:t>semidefinitivas</w:t>
      </w:r>
      <w:proofErr w:type="spellEnd"/>
      <w:r w:rsidRPr="00582936">
        <w:rPr>
          <w:rFonts w:ascii="Century Gothic" w:eastAsia="Calibri" w:hAnsi="Century Gothic" w:cs="Times New Roman"/>
          <w:iCs/>
          <w:color w:val="6E6E7C"/>
          <w:sz w:val="21"/>
          <w:szCs w:val="21"/>
        </w:rPr>
        <w:t xml:space="preserve"> </w:t>
      </w:r>
      <w:r w:rsidR="006B6766" w:rsidRPr="00582936">
        <w:rPr>
          <w:rFonts w:ascii="Century Gothic" w:eastAsia="Calibri" w:hAnsi="Century Gothic" w:cs="Times New Roman"/>
          <w:iCs/>
          <w:color w:val="6E6E7C"/>
          <w:sz w:val="21"/>
          <w:szCs w:val="21"/>
        </w:rPr>
        <w:t>en relación con el</w:t>
      </w:r>
      <w:r w:rsidRPr="00582936">
        <w:rPr>
          <w:rFonts w:ascii="Century Gothic" w:eastAsia="Calibri" w:hAnsi="Century Gothic" w:cs="Times New Roman"/>
          <w:iCs/>
          <w:color w:val="6E6E7C"/>
          <w:sz w:val="21"/>
          <w:szCs w:val="21"/>
        </w:rPr>
        <w:t xml:space="preserve"> último periodo de referencia publicado.</w:t>
      </w:r>
    </w:p>
    <w:p w14:paraId="5473327D" w14:textId="77777777" w:rsidR="00EA7CD3" w:rsidRPr="00582936" w:rsidRDefault="00EA7CD3" w:rsidP="00E5524A">
      <w:pPr>
        <w:numPr>
          <w:ilvl w:val="0"/>
          <w:numId w:val="34"/>
        </w:numPr>
        <w:spacing w:after="200" w:line="276" w:lineRule="auto"/>
        <w:ind w:right="4"/>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La ENESEM genera estadística de base par</w:t>
      </w:r>
      <w:r w:rsidR="009D605B">
        <w:rPr>
          <w:rFonts w:ascii="Century Gothic" w:eastAsia="Calibri" w:hAnsi="Century Gothic" w:cs="Times New Roman"/>
          <w:iCs/>
          <w:color w:val="6E6E7C"/>
          <w:sz w:val="21"/>
          <w:szCs w:val="21"/>
        </w:rPr>
        <w:t>a la s</w:t>
      </w:r>
      <w:r w:rsidR="006E6B3C">
        <w:rPr>
          <w:rFonts w:ascii="Century Gothic" w:eastAsia="Calibri" w:hAnsi="Century Gothic" w:cs="Times New Roman"/>
          <w:iCs/>
          <w:color w:val="6E6E7C"/>
          <w:sz w:val="21"/>
          <w:szCs w:val="21"/>
        </w:rPr>
        <w:t xml:space="preserve">íntesis macroeconómica. </w:t>
      </w:r>
      <w:r w:rsidR="006B6766" w:rsidRPr="00582936">
        <w:rPr>
          <w:rFonts w:ascii="Century Gothic" w:eastAsia="Calibri" w:hAnsi="Century Gothic" w:cs="Times New Roman"/>
          <w:iCs/>
          <w:color w:val="6E6E7C"/>
          <w:sz w:val="21"/>
          <w:szCs w:val="21"/>
        </w:rPr>
        <w:t>Aun</w:t>
      </w:r>
      <w:r w:rsidRPr="00582936">
        <w:rPr>
          <w:rFonts w:ascii="Century Gothic" w:eastAsia="Calibri" w:hAnsi="Century Gothic" w:cs="Times New Roman"/>
          <w:iCs/>
          <w:color w:val="6E6E7C"/>
          <w:sz w:val="21"/>
          <w:szCs w:val="21"/>
        </w:rPr>
        <w:t xml:space="preserve"> cuando el marco metodológico se basa en el Sistema de Cuentas Nacionales 2008, no se puede comparar directamente los agregados empresariales de la encuesta (producción, valor agregado, etc.) con las cuentas nacionales. </w:t>
      </w:r>
    </w:p>
    <w:p w14:paraId="6264BFD9" w14:textId="77777777" w:rsidR="00BC517C" w:rsidRPr="00D27640" w:rsidRDefault="00BC517C" w:rsidP="0094052A">
      <w:pPr>
        <w:pStyle w:val="Ttulo2"/>
        <w:numPr>
          <w:ilvl w:val="1"/>
          <w:numId w:val="1"/>
        </w:numPr>
        <w:spacing w:before="0" w:line="276" w:lineRule="auto"/>
        <w:jc w:val="both"/>
        <w:rPr>
          <w:rFonts w:eastAsiaTheme="minorHAnsi" w:cstheme="minorBidi"/>
          <w:bCs/>
          <w:color w:val="6E6E7C"/>
          <w:sz w:val="28"/>
          <w:szCs w:val="44"/>
        </w:rPr>
      </w:pPr>
      <w:bookmarkStart w:id="414" w:name="_Toc124332757"/>
      <w:bookmarkStart w:id="415" w:name="_Toc126078010"/>
      <w:bookmarkStart w:id="416" w:name="_Toc124332758"/>
      <w:bookmarkStart w:id="417" w:name="_Toc126078011"/>
      <w:bookmarkStart w:id="418" w:name="_Toc124332759"/>
      <w:bookmarkStart w:id="419" w:name="_Toc126078012"/>
      <w:bookmarkStart w:id="420" w:name="_Toc124332760"/>
      <w:bookmarkStart w:id="421" w:name="_Toc126078013"/>
      <w:bookmarkStart w:id="422" w:name="_Toc126658018"/>
      <w:bookmarkStart w:id="423" w:name="_Toc148617366"/>
      <w:bookmarkStart w:id="424" w:name="_Toc161322585"/>
      <w:bookmarkEnd w:id="414"/>
      <w:bookmarkEnd w:id="415"/>
      <w:bookmarkEnd w:id="416"/>
      <w:bookmarkEnd w:id="417"/>
      <w:bookmarkEnd w:id="418"/>
      <w:bookmarkEnd w:id="419"/>
      <w:bookmarkEnd w:id="420"/>
      <w:bookmarkEnd w:id="421"/>
      <w:r w:rsidRPr="00D27640">
        <w:rPr>
          <w:rFonts w:eastAsiaTheme="minorHAnsi" w:cstheme="minorBidi"/>
          <w:bCs/>
          <w:color w:val="6E6E7C"/>
          <w:sz w:val="28"/>
          <w:szCs w:val="44"/>
        </w:rPr>
        <w:t>Resultados estadísticos</w:t>
      </w:r>
      <w:r w:rsidRPr="00D27640" w:rsidDel="00782C15">
        <w:rPr>
          <w:rFonts w:eastAsiaTheme="minorHAnsi" w:cstheme="minorBidi"/>
          <w:bCs/>
          <w:color w:val="6E6E7C"/>
          <w:sz w:val="28"/>
          <w:szCs w:val="44"/>
        </w:rPr>
        <w:t xml:space="preserve"> </w:t>
      </w:r>
      <w:r w:rsidRPr="00D27640">
        <w:rPr>
          <w:rFonts w:eastAsiaTheme="minorHAnsi" w:cstheme="minorBidi"/>
          <w:bCs/>
          <w:color w:val="6E6E7C"/>
          <w:sz w:val="28"/>
          <w:szCs w:val="44"/>
        </w:rPr>
        <w:t>y productos de difusión</w:t>
      </w:r>
      <w:bookmarkEnd w:id="422"/>
      <w:bookmarkEnd w:id="423"/>
      <w:bookmarkEnd w:id="424"/>
    </w:p>
    <w:p w14:paraId="4E20CAE3" w14:textId="77777777" w:rsidR="00EA7CD3" w:rsidRPr="00582936" w:rsidRDefault="00EA7CD3" w:rsidP="00EA7CD3">
      <w:pPr>
        <w:spacing w:before="240" w:after="200" w:line="276" w:lineRule="auto"/>
        <w:jc w:val="both"/>
        <w:rPr>
          <w:rFonts w:ascii="Century Gothic" w:eastAsia="Calibri" w:hAnsi="Century Gothic" w:cs="Times New Roman"/>
          <w:iCs/>
          <w:color w:val="6E6E7C"/>
          <w:sz w:val="21"/>
          <w:szCs w:val="21"/>
          <w:lang w:eastAsia="es-EC"/>
        </w:rPr>
      </w:pPr>
      <w:bookmarkStart w:id="425" w:name="_Toc515957049"/>
      <w:bookmarkStart w:id="426" w:name="_Toc7095974"/>
      <w:r w:rsidRPr="00582936">
        <w:rPr>
          <w:rFonts w:ascii="Century Gothic" w:eastAsia="Calibri" w:hAnsi="Century Gothic" w:cs="Times New Roman"/>
          <w:iCs/>
          <w:color w:val="6E6E7C"/>
          <w:sz w:val="21"/>
          <w:szCs w:val="21"/>
          <w:lang w:val="es-ES" w:eastAsia="es-EC"/>
        </w:rPr>
        <w:t>Los productos que han sido generados a partir de la base de datos de la Encuesta Estructural Empresarial 202</w:t>
      </w:r>
      <w:r w:rsidR="00EB133C">
        <w:rPr>
          <w:rFonts w:ascii="Century Gothic" w:eastAsia="Calibri" w:hAnsi="Century Gothic" w:cs="Times New Roman"/>
          <w:iCs/>
          <w:color w:val="6E6E7C"/>
          <w:sz w:val="21"/>
          <w:szCs w:val="21"/>
          <w:lang w:val="es-ES" w:eastAsia="es-EC"/>
        </w:rPr>
        <w:t>2,</w:t>
      </w:r>
      <w:r w:rsidRPr="00582936">
        <w:rPr>
          <w:rFonts w:ascii="Century Gothic" w:eastAsia="Calibri" w:hAnsi="Century Gothic" w:cs="Times New Roman"/>
          <w:iCs/>
          <w:color w:val="6E6E7C"/>
          <w:sz w:val="21"/>
          <w:szCs w:val="21"/>
          <w:lang w:val="es-ES" w:eastAsia="es-EC"/>
        </w:rPr>
        <w:t xml:space="preserve"> permiten conocer los principales resultados de los sectores económicos del país; los cuales se encuentran a disposición del público en la página web del INEC, estos son</w:t>
      </w:r>
      <w:r w:rsidRPr="00582936">
        <w:rPr>
          <w:rFonts w:ascii="Century Gothic" w:eastAsia="Calibri" w:hAnsi="Century Gothic" w:cs="Times New Roman"/>
          <w:iCs/>
          <w:color w:val="6E6E7C"/>
          <w:sz w:val="21"/>
          <w:szCs w:val="21"/>
          <w:lang w:eastAsia="es-EC"/>
        </w:rPr>
        <w:t>:</w:t>
      </w:r>
    </w:p>
    <w:p w14:paraId="5B14453F" w14:textId="77777777" w:rsidR="00EA7CD3" w:rsidRPr="00582936" w:rsidRDefault="00EA7CD3" w:rsidP="00CF3585">
      <w:pPr>
        <w:spacing w:after="200"/>
        <w:jc w:val="center"/>
        <w:rPr>
          <w:rFonts w:ascii="Century Gothic" w:eastAsia="Calibri" w:hAnsi="Century Gothic" w:cs="Times New Roman"/>
          <w:iCs/>
          <w:color w:val="6E6E7C"/>
          <w:sz w:val="18"/>
          <w:szCs w:val="18"/>
          <w:lang w:val="es-ES" w:eastAsia="es-EC"/>
        </w:rPr>
      </w:pPr>
      <w:bookmarkStart w:id="427" w:name="_Toc128467621"/>
      <w:bookmarkStart w:id="428" w:name="_Toc130899619"/>
      <w:bookmarkStart w:id="429" w:name="_Toc157006155"/>
      <w:bookmarkStart w:id="430" w:name="_Toc157006980"/>
      <w:bookmarkStart w:id="431" w:name="_Toc157368496"/>
      <w:bookmarkStart w:id="432" w:name="_Toc157585791"/>
      <w:bookmarkStart w:id="433" w:name="_Toc157671128"/>
      <w:bookmarkStart w:id="434" w:name="_Toc158206894"/>
      <w:bookmarkStart w:id="435" w:name="_Toc161322608"/>
      <w:r w:rsidRPr="00582936">
        <w:rPr>
          <w:rFonts w:ascii="Century Gothic" w:eastAsia="Calibri" w:hAnsi="Century Gothic" w:cs="Times New Roman"/>
          <w:b/>
          <w:iCs/>
          <w:color w:val="6E6E7C"/>
          <w:sz w:val="18"/>
          <w:szCs w:val="18"/>
          <w:lang w:val="es-ES" w:eastAsia="es-EC"/>
        </w:rPr>
        <w:t xml:space="preserve">Tabla </w:t>
      </w:r>
      <w:r w:rsidRPr="00582936">
        <w:rPr>
          <w:rFonts w:ascii="Century Gothic" w:eastAsia="Calibri" w:hAnsi="Century Gothic" w:cs="Times New Roman"/>
          <w:b/>
          <w:iCs/>
          <w:color w:val="6E6E7C"/>
          <w:sz w:val="18"/>
          <w:szCs w:val="18"/>
          <w:lang w:val="es-ES" w:eastAsia="es-EC"/>
        </w:rPr>
        <w:fldChar w:fldCharType="begin"/>
      </w:r>
      <w:r w:rsidRPr="00582936">
        <w:rPr>
          <w:rFonts w:ascii="Century Gothic" w:eastAsia="Calibri" w:hAnsi="Century Gothic" w:cs="Times New Roman"/>
          <w:b/>
          <w:iCs/>
          <w:color w:val="6E6E7C"/>
          <w:sz w:val="18"/>
          <w:szCs w:val="18"/>
          <w:lang w:val="es-ES" w:eastAsia="es-EC"/>
        </w:rPr>
        <w:instrText xml:space="preserve"> SEQ Tabla \* ARABIC </w:instrText>
      </w:r>
      <w:r w:rsidRPr="00582936">
        <w:rPr>
          <w:rFonts w:ascii="Century Gothic" w:eastAsia="Calibri" w:hAnsi="Century Gothic" w:cs="Times New Roman"/>
          <w:b/>
          <w:iCs/>
          <w:color w:val="6E6E7C"/>
          <w:sz w:val="18"/>
          <w:szCs w:val="18"/>
          <w:lang w:val="es-ES" w:eastAsia="es-EC"/>
        </w:rPr>
        <w:fldChar w:fldCharType="separate"/>
      </w:r>
      <w:r w:rsidR="00CF3585">
        <w:rPr>
          <w:rFonts w:ascii="Century Gothic" w:eastAsia="Calibri" w:hAnsi="Century Gothic" w:cs="Times New Roman"/>
          <w:b/>
          <w:iCs/>
          <w:noProof/>
          <w:color w:val="6E6E7C"/>
          <w:sz w:val="18"/>
          <w:szCs w:val="18"/>
          <w:lang w:val="es-ES" w:eastAsia="es-EC"/>
        </w:rPr>
        <w:t>14</w:t>
      </w:r>
      <w:r w:rsidRPr="00582936">
        <w:rPr>
          <w:rFonts w:ascii="Century Gothic" w:eastAsia="Calibri" w:hAnsi="Century Gothic" w:cs="Times New Roman"/>
          <w:b/>
          <w:iCs/>
          <w:color w:val="6E6E7C"/>
          <w:sz w:val="18"/>
          <w:szCs w:val="18"/>
          <w:lang w:val="es-ES" w:eastAsia="es-EC"/>
        </w:rPr>
        <w:fldChar w:fldCharType="end"/>
      </w:r>
      <w:r w:rsidRPr="00582936">
        <w:rPr>
          <w:rFonts w:ascii="Century Gothic" w:eastAsia="Calibri" w:hAnsi="Century Gothic" w:cs="Times New Roman"/>
          <w:b/>
          <w:iCs/>
          <w:color w:val="6E6E7C"/>
          <w:sz w:val="18"/>
          <w:szCs w:val="18"/>
          <w:lang w:val="es-ES" w:eastAsia="es-EC"/>
        </w:rPr>
        <w:t>.</w:t>
      </w:r>
      <w:r w:rsidRPr="00582936">
        <w:rPr>
          <w:rFonts w:ascii="Century Gothic" w:eastAsia="Calibri" w:hAnsi="Century Gothic" w:cs="Times New Roman"/>
          <w:iCs/>
          <w:color w:val="6E6E7C"/>
          <w:sz w:val="18"/>
          <w:szCs w:val="18"/>
          <w:lang w:val="es-ES" w:eastAsia="es-EC"/>
        </w:rPr>
        <w:t xml:space="preserve"> Listado de productos de la ENESEM 2022:</w:t>
      </w:r>
      <w:bookmarkEnd w:id="427"/>
      <w:bookmarkEnd w:id="428"/>
      <w:bookmarkEnd w:id="429"/>
      <w:bookmarkEnd w:id="430"/>
      <w:bookmarkEnd w:id="431"/>
      <w:bookmarkEnd w:id="432"/>
      <w:bookmarkEnd w:id="433"/>
      <w:bookmarkEnd w:id="434"/>
      <w:bookmarkEnd w:id="435"/>
    </w:p>
    <w:tbl>
      <w:tblPr>
        <w:tblW w:w="8784" w:type="dxa"/>
        <w:jc w:val="center"/>
        <w:tblBorders>
          <w:top w:val="single" w:sz="4" w:space="0" w:color="AEAAAA"/>
          <w:left w:val="single" w:sz="4" w:space="0" w:color="AEAAAA"/>
          <w:bottom w:val="single" w:sz="4" w:space="0" w:color="AEAAAA"/>
          <w:right w:val="single" w:sz="4" w:space="0" w:color="AEAAAA"/>
          <w:insideH w:val="single" w:sz="4" w:space="0" w:color="AEAAAA"/>
          <w:insideV w:val="single" w:sz="4" w:space="0" w:color="AEAAAA"/>
        </w:tblBorders>
        <w:tblLayout w:type="fixed"/>
        <w:tblCellMar>
          <w:left w:w="70" w:type="dxa"/>
          <w:right w:w="70" w:type="dxa"/>
        </w:tblCellMar>
        <w:tblLook w:val="04A0" w:firstRow="1" w:lastRow="0" w:firstColumn="1" w:lastColumn="0" w:noHBand="0" w:noVBand="1"/>
      </w:tblPr>
      <w:tblGrid>
        <w:gridCol w:w="2000"/>
        <w:gridCol w:w="4014"/>
        <w:gridCol w:w="1352"/>
        <w:gridCol w:w="1418"/>
      </w:tblGrid>
      <w:tr w:rsidR="009442BC" w:rsidRPr="00582936" w14:paraId="3BB6051E" w14:textId="77777777" w:rsidTr="00460317">
        <w:trPr>
          <w:trHeight w:val="419"/>
          <w:jc w:val="center"/>
        </w:trPr>
        <w:tc>
          <w:tcPr>
            <w:tcW w:w="2000" w:type="dxa"/>
            <w:shd w:val="clear" w:color="auto" w:fill="4266CE"/>
            <w:noWrap/>
            <w:vAlign w:val="center"/>
            <w:hideMark/>
          </w:tcPr>
          <w:p w14:paraId="33B17979" w14:textId="77777777" w:rsidR="009442BC" w:rsidRPr="00460317" w:rsidRDefault="009442BC" w:rsidP="00460317">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Contenidos y Productos a Difundirse</w:t>
            </w:r>
          </w:p>
        </w:tc>
        <w:tc>
          <w:tcPr>
            <w:tcW w:w="4014" w:type="dxa"/>
            <w:shd w:val="clear" w:color="auto" w:fill="4266CE"/>
            <w:noWrap/>
            <w:vAlign w:val="center"/>
            <w:hideMark/>
          </w:tcPr>
          <w:p w14:paraId="3A8DECE7" w14:textId="77777777" w:rsidR="009442BC" w:rsidRPr="00460317" w:rsidRDefault="00906C5C" w:rsidP="00460317">
            <w:pPr>
              <w:ind w:left="-421"/>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Unidad/contenido</w:t>
            </w:r>
          </w:p>
        </w:tc>
        <w:tc>
          <w:tcPr>
            <w:tcW w:w="1352" w:type="dxa"/>
            <w:shd w:val="clear" w:color="auto" w:fill="4266CE"/>
            <w:vAlign w:val="center"/>
          </w:tcPr>
          <w:p w14:paraId="71C61A81" w14:textId="77777777" w:rsidR="009442BC" w:rsidRPr="00460317" w:rsidRDefault="009442BC" w:rsidP="00460317">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Repositorio</w:t>
            </w:r>
          </w:p>
        </w:tc>
        <w:tc>
          <w:tcPr>
            <w:tcW w:w="1418" w:type="dxa"/>
            <w:shd w:val="clear" w:color="auto" w:fill="4266CE"/>
            <w:vAlign w:val="center"/>
          </w:tcPr>
          <w:p w14:paraId="57F3B6BB" w14:textId="77777777" w:rsidR="009442BC" w:rsidRPr="00460317" w:rsidRDefault="009442BC" w:rsidP="00460317">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Información Disponible</w:t>
            </w:r>
          </w:p>
        </w:tc>
      </w:tr>
      <w:tr w:rsidR="009442BC" w:rsidRPr="00582936" w14:paraId="44F4A9E2" w14:textId="77777777" w:rsidTr="009442BC">
        <w:trPr>
          <w:trHeight w:val="250"/>
          <w:jc w:val="center"/>
        </w:trPr>
        <w:tc>
          <w:tcPr>
            <w:tcW w:w="2000" w:type="dxa"/>
            <w:shd w:val="clear" w:color="auto" w:fill="FFFFFF"/>
            <w:vAlign w:val="center"/>
            <w:hideMark/>
          </w:tcPr>
          <w:p w14:paraId="50EF19ED"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Cuadro resumen</w:t>
            </w:r>
          </w:p>
        </w:tc>
        <w:tc>
          <w:tcPr>
            <w:tcW w:w="4014" w:type="dxa"/>
            <w:shd w:val="clear" w:color="auto" w:fill="FFFFFF"/>
            <w:vAlign w:val="center"/>
            <w:hideMark/>
          </w:tcPr>
          <w:p w14:paraId="7FC2849E"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Cuadro en el que se detallan los principales indicadores e índices del periodo de análisis.</w:t>
            </w:r>
          </w:p>
        </w:tc>
        <w:tc>
          <w:tcPr>
            <w:tcW w:w="1352" w:type="dxa"/>
            <w:shd w:val="clear" w:color="auto" w:fill="FFFFFF"/>
            <w:vAlign w:val="center"/>
          </w:tcPr>
          <w:p w14:paraId="64669456"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4E5599A8"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2017 – 2022</w:t>
            </w:r>
          </w:p>
        </w:tc>
      </w:tr>
      <w:tr w:rsidR="009442BC" w:rsidRPr="00582936" w14:paraId="498CE5F5" w14:textId="77777777" w:rsidTr="009442BC">
        <w:trPr>
          <w:trHeight w:val="233"/>
          <w:jc w:val="center"/>
        </w:trPr>
        <w:tc>
          <w:tcPr>
            <w:tcW w:w="2000" w:type="dxa"/>
            <w:shd w:val="clear" w:color="auto" w:fill="FFFFFF"/>
            <w:vAlign w:val="center"/>
            <w:hideMark/>
          </w:tcPr>
          <w:p w14:paraId="7926137F"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Presentación de los principales resultados</w:t>
            </w:r>
          </w:p>
        </w:tc>
        <w:tc>
          <w:tcPr>
            <w:tcW w:w="4014" w:type="dxa"/>
            <w:shd w:val="clear" w:color="auto" w:fill="FFFFFF"/>
            <w:vAlign w:val="center"/>
            <w:hideMark/>
          </w:tcPr>
          <w:p w14:paraId="44C6EB85"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Resumen de los principales resultados de la ENESEM.</w:t>
            </w:r>
          </w:p>
        </w:tc>
        <w:tc>
          <w:tcPr>
            <w:tcW w:w="1352" w:type="dxa"/>
            <w:shd w:val="clear" w:color="auto" w:fill="FFFFFF"/>
            <w:vAlign w:val="center"/>
          </w:tcPr>
          <w:p w14:paraId="1E4614E0"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019B9AC3"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6574B958" w14:textId="77777777" w:rsidTr="009442BC">
        <w:trPr>
          <w:trHeight w:val="305"/>
          <w:jc w:val="center"/>
        </w:trPr>
        <w:tc>
          <w:tcPr>
            <w:tcW w:w="2000" w:type="dxa"/>
            <w:shd w:val="clear" w:color="auto" w:fill="FFFFFF"/>
            <w:vAlign w:val="center"/>
            <w:hideMark/>
          </w:tcPr>
          <w:p w14:paraId="3D5ECDE8"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Boletín técnico</w:t>
            </w:r>
          </w:p>
        </w:tc>
        <w:tc>
          <w:tcPr>
            <w:tcW w:w="4014" w:type="dxa"/>
            <w:shd w:val="clear" w:color="auto" w:fill="FFFFFF"/>
            <w:vAlign w:val="center"/>
            <w:hideMark/>
          </w:tcPr>
          <w:p w14:paraId="790E23C8"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Documento que presenta de una manera más detallada los principales resultados de la ENESEM.</w:t>
            </w:r>
          </w:p>
        </w:tc>
        <w:tc>
          <w:tcPr>
            <w:tcW w:w="1352" w:type="dxa"/>
            <w:shd w:val="clear" w:color="auto" w:fill="FFFFFF"/>
            <w:vAlign w:val="center"/>
          </w:tcPr>
          <w:p w14:paraId="2E7F9C14"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70937ECF"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2017 – 2022</w:t>
            </w:r>
          </w:p>
        </w:tc>
      </w:tr>
      <w:tr w:rsidR="009442BC" w:rsidRPr="00582936" w14:paraId="5BDA99A5" w14:textId="77777777" w:rsidTr="009442BC">
        <w:trPr>
          <w:trHeight w:val="473"/>
          <w:jc w:val="center"/>
        </w:trPr>
        <w:tc>
          <w:tcPr>
            <w:tcW w:w="2000" w:type="dxa"/>
            <w:shd w:val="clear" w:color="auto" w:fill="FFFFFF"/>
            <w:vAlign w:val="center"/>
            <w:hideMark/>
          </w:tcPr>
          <w:p w14:paraId="49F73F68"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Tabulados y series históricas</w:t>
            </w:r>
          </w:p>
        </w:tc>
        <w:tc>
          <w:tcPr>
            <w:tcW w:w="4014" w:type="dxa"/>
            <w:shd w:val="clear" w:color="auto" w:fill="FFFFFF"/>
            <w:vAlign w:val="center"/>
            <w:hideMark/>
          </w:tcPr>
          <w:p w14:paraId="2D485BD7"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Representación de los resultados de la operación en formato tabla, mediante la combinación de variables del último período y datos históricos de la operación estadística.</w:t>
            </w:r>
          </w:p>
        </w:tc>
        <w:tc>
          <w:tcPr>
            <w:tcW w:w="1352" w:type="dxa"/>
            <w:shd w:val="clear" w:color="auto" w:fill="FFFFFF"/>
            <w:vAlign w:val="center"/>
          </w:tcPr>
          <w:p w14:paraId="4BF7FF87"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Página Web</w:t>
            </w:r>
          </w:p>
        </w:tc>
        <w:tc>
          <w:tcPr>
            <w:tcW w:w="1418" w:type="dxa"/>
            <w:shd w:val="clear" w:color="auto" w:fill="FFFFFF"/>
            <w:vAlign w:val="center"/>
          </w:tcPr>
          <w:p w14:paraId="0412AF45"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0B6CB573" w14:textId="77777777" w:rsidTr="009442BC">
        <w:trPr>
          <w:trHeight w:val="316"/>
          <w:jc w:val="center"/>
        </w:trPr>
        <w:tc>
          <w:tcPr>
            <w:tcW w:w="2000" w:type="dxa"/>
            <w:shd w:val="clear" w:color="auto" w:fill="FFFFFF"/>
            <w:vAlign w:val="center"/>
            <w:hideMark/>
          </w:tcPr>
          <w:p w14:paraId="6C4535E4"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Base de datos del periodo vigente</w:t>
            </w:r>
          </w:p>
        </w:tc>
        <w:tc>
          <w:tcPr>
            <w:tcW w:w="4014" w:type="dxa"/>
            <w:shd w:val="clear" w:color="auto" w:fill="FFFFFF"/>
            <w:vAlign w:val="center"/>
            <w:hideMark/>
          </w:tcPr>
          <w:p w14:paraId="36315BB2"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 xml:space="preserve">Base de datos del periodo de levantamiento, disponible en los formatos SPSS y CSV. </w:t>
            </w:r>
          </w:p>
        </w:tc>
        <w:tc>
          <w:tcPr>
            <w:tcW w:w="1352" w:type="dxa"/>
            <w:shd w:val="clear" w:color="auto" w:fill="FFFFFF"/>
            <w:vAlign w:val="center"/>
          </w:tcPr>
          <w:p w14:paraId="1E979CD9"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3968FADD"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49027274" w14:textId="77777777" w:rsidTr="009442BC">
        <w:trPr>
          <w:trHeight w:val="223"/>
          <w:jc w:val="center"/>
        </w:trPr>
        <w:tc>
          <w:tcPr>
            <w:tcW w:w="2000" w:type="dxa"/>
            <w:shd w:val="clear" w:color="auto" w:fill="FFFFFF"/>
            <w:noWrap/>
            <w:vAlign w:val="center"/>
            <w:hideMark/>
          </w:tcPr>
          <w:p w14:paraId="6479A2FD"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Diccionario de variables</w:t>
            </w:r>
          </w:p>
        </w:tc>
        <w:tc>
          <w:tcPr>
            <w:tcW w:w="4014" w:type="dxa"/>
            <w:shd w:val="clear" w:color="auto" w:fill="FFFFFF"/>
            <w:vAlign w:val="center"/>
            <w:hideMark/>
          </w:tcPr>
          <w:p w14:paraId="296EB62D"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Descripción de las variables que conforman las BDD.</w:t>
            </w:r>
          </w:p>
        </w:tc>
        <w:tc>
          <w:tcPr>
            <w:tcW w:w="1352" w:type="dxa"/>
            <w:shd w:val="clear" w:color="auto" w:fill="FFFFFF"/>
            <w:vAlign w:val="center"/>
          </w:tcPr>
          <w:p w14:paraId="174FB644"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Página Web</w:t>
            </w:r>
          </w:p>
        </w:tc>
        <w:tc>
          <w:tcPr>
            <w:tcW w:w="1418" w:type="dxa"/>
            <w:shd w:val="clear" w:color="auto" w:fill="FFFFFF"/>
            <w:vAlign w:val="center"/>
          </w:tcPr>
          <w:p w14:paraId="681000FA"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6FC29C44" w14:textId="77777777" w:rsidTr="009442BC">
        <w:trPr>
          <w:trHeight w:val="203"/>
          <w:jc w:val="center"/>
        </w:trPr>
        <w:tc>
          <w:tcPr>
            <w:tcW w:w="2000" w:type="dxa"/>
            <w:shd w:val="clear" w:color="auto" w:fill="FFFFFF"/>
            <w:vAlign w:val="center"/>
          </w:tcPr>
          <w:p w14:paraId="7DED9ABD"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Definiciones Tomo II</w:t>
            </w:r>
          </w:p>
        </w:tc>
        <w:tc>
          <w:tcPr>
            <w:tcW w:w="4014" w:type="dxa"/>
            <w:shd w:val="clear" w:color="auto" w:fill="FFFFFF"/>
            <w:vAlign w:val="center"/>
          </w:tcPr>
          <w:p w14:paraId="1F563342"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Descripción conceptual de materias primas y productos.</w:t>
            </w:r>
          </w:p>
        </w:tc>
        <w:tc>
          <w:tcPr>
            <w:tcW w:w="1352" w:type="dxa"/>
            <w:shd w:val="clear" w:color="auto" w:fill="FFFFFF"/>
            <w:vAlign w:val="center"/>
          </w:tcPr>
          <w:p w14:paraId="48F92259"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Página Web</w:t>
            </w:r>
          </w:p>
        </w:tc>
        <w:tc>
          <w:tcPr>
            <w:tcW w:w="1418" w:type="dxa"/>
            <w:shd w:val="clear" w:color="auto" w:fill="FFFFFF"/>
            <w:vAlign w:val="center"/>
          </w:tcPr>
          <w:p w14:paraId="18A79317"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43F498EC" w14:textId="77777777" w:rsidTr="009442BC">
        <w:trPr>
          <w:trHeight w:val="203"/>
          <w:jc w:val="center"/>
        </w:trPr>
        <w:tc>
          <w:tcPr>
            <w:tcW w:w="2000" w:type="dxa"/>
            <w:shd w:val="clear" w:color="auto" w:fill="FFFFFF"/>
            <w:vAlign w:val="center"/>
            <w:hideMark/>
          </w:tcPr>
          <w:p w14:paraId="17F1BE6A"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Ficha de indicadores</w:t>
            </w:r>
          </w:p>
        </w:tc>
        <w:tc>
          <w:tcPr>
            <w:tcW w:w="4014" w:type="dxa"/>
            <w:shd w:val="clear" w:color="auto" w:fill="FFFFFF"/>
            <w:vAlign w:val="center"/>
            <w:hideMark/>
          </w:tcPr>
          <w:p w14:paraId="30229697"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Descripción metodológica de los indicadores resultantes de la operación estadística.</w:t>
            </w:r>
          </w:p>
        </w:tc>
        <w:tc>
          <w:tcPr>
            <w:tcW w:w="1352" w:type="dxa"/>
            <w:shd w:val="clear" w:color="auto" w:fill="FFFFFF"/>
            <w:vAlign w:val="center"/>
          </w:tcPr>
          <w:p w14:paraId="39F7ED88"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7760499A"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4BE9BC56" w14:textId="77777777" w:rsidTr="009442BC">
        <w:trPr>
          <w:trHeight w:val="316"/>
          <w:jc w:val="center"/>
        </w:trPr>
        <w:tc>
          <w:tcPr>
            <w:tcW w:w="2000" w:type="dxa"/>
            <w:shd w:val="clear" w:color="auto" w:fill="FFFFFF"/>
            <w:vAlign w:val="center"/>
            <w:hideMark/>
          </w:tcPr>
          <w:p w14:paraId="199B78DE"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Sintaxis</w:t>
            </w:r>
          </w:p>
        </w:tc>
        <w:tc>
          <w:tcPr>
            <w:tcW w:w="4014" w:type="dxa"/>
            <w:shd w:val="clear" w:color="auto" w:fill="FFFFFF"/>
            <w:vAlign w:val="center"/>
            <w:hideMark/>
          </w:tcPr>
          <w:p w14:paraId="7C789C09"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Descripción codificada de: a) Construcción de variables derivadas, b) Tabulados, e c) Indicadores principales.</w:t>
            </w:r>
          </w:p>
        </w:tc>
        <w:tc>
          <w:tcPr>
            <w:tcW w:w="1352" w:type="dxa"/>
            <w:shd w:val="clear" w:color="auto" w:fill="FFFFFF"/>
            <w:vAlign w:val="center"/>
          </w:tcPr>
          <w:p w14:paraId="3A06F8BC"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Página Web</w:t>
            </w:r>
          </w:p>
        </w:tc>
        <w:tc>
          <w:tcPr>
            <w:tcW w:w="1418" w:type="dxa"/>
            <w:shd w:val="clear" w:color="auto" w:fill="FFFFFF"/>
            <w:vAlign w:val="center"/>
          </w:tcPr>
          <w:p w14:paraId="38811AB1"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075FE290" w14:textId="77777777" w:rsidTr="009442BC">
        <w:trPr>
          <w:trHeight w:val="233"/>
          <w:jc w:val="center"/>
        </w:trPr>
        <w:tc>
          <w:tcPr>
            <w:tcW w:w="2000" w:type="dxa"/>
            <w:shd w:val="clear" w:color="auto" w:fill="FFFFFF"/>
            <w:vAlign w:val="center"/>
            <w:hideMark/>
          </w:tcPr>
          <w:p w14:paraId="60EB0662"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Metodología</w:t>
            </w:r>
          </w:p>
        </w:tc>
        <w:tc>
          <w:tcPr>
            <w:tcW w:w="4014" w:type="dxa"/>
            <w:shd w:val="clear" w:color="auto" w:fill="FFFFFF"/>
            <w:vAlign w:val="center"/>
            <w:hideMark/>
          </w:tcPr>
          <w:p w14:paraId="3360C0F5"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Descripción de aspectos metodológicos actuales de la operación estadística, de acuerdo con el formato homologado.</w:t>
            </w:r>
          </w:p>
        </w:tc>
        <w:tc>
          <w:tcPr>
            <w:tcW w:w="1352" w:type="dxa"/>
            <w:shd w:val="clear" w:color="auto" w:fill="FFFFFF"/>
            <w:vAlign w:val="center"/>
          </w:tcPr>
          <w:p w14:paraId="21D74B4D"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5B7089B6"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64047AD0" w14:textId="77777777" w:rsidTr="009442BC">
        <w:trPr>
          <w:trHeight w:val="316"/>
          <w:jc w:val="center"/>
        </w:trPr>
        <w:tc>
          <w:tcPr>
            <w:tcW w:w="2000" w:type="dxa"/>
            <w:shd w:val="clear" w:color="auto" w:fill="FFFFFF"/>
            <w:vAlign w:val="center"/>
            <w:hideMark/>
          </w:tcPr>
          <w:p w14:paraId="048360D1"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lastRenderedPageBreak/>
              <w:t>Formulario</w:t>
            </w:r>
          </w:p>
        </w:tc>
        <w:tc>
          <w:tcPr>
            <w:tcW w:w="4014" w:type="dxa"/>
            <w:shd w:val="clear" w:color="auto" w:fill="FFFFFF"/>
            <w:vAlign w:val="center"/>
            <w:hideMark/>
          </w:tcPr>
          <w:p w14:paraId="3F25F5BC"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Última versión del formulario aplicado en el levantamiento de la operación estadística.</w:t>
            </w:r>
          </w:p>
        </w:tc>
        <w:tc>
          <w:tcPr>
            <w:tcW w:w="1352" w:type="dxa"/>
            <w:shd w:val="clear" w:color="auto" w:fill="FFFFFF"/>
            <w:vAlign w:val="center"/>
          </w:tcPr>
          <w:p w14:paraId="2E5115E6"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77C1E1E8"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249B50DE" w14:textId="77777777" w:rsidTr="009442BC">
        <w:trPr>
          <w:trHeight w:val="97"/>
          <w:jc w:val="center"/>
        </w:trPr>
        <w:tc>
          <w:tcPr>
            <w:tcW w:w="2000" w:type="dxa"/>
            <w:shd w:val="clear" w:color="auto" w:fill="FFFFFF"/>
            <w:vAlign w:val="center"/>
            <w:hideMark/>
          </w:tcPr>
          <w:p w14:paraId="1AE86F62"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Manuales</w:t>
            </w:r>
          </w:p>
        </w:tc>
        <w:tc>
          <w:tcPr>
            <w:tcW w:w="4014" w:type="dxa"/>
            <w:shd w:val="clear" w:color="auto" w:fill="FFFFFF"/>
            <w:vAlign w:val="center"/>
            <w:hideMark/>
          </w:tcPr>
          <w:p w14:paraId="6205B2B4" w14:textId="77777777" w:rsidR="009442BC" w:rsidRPr="00582936" w:rsidRDefault="009442BC" w:rsidP="00EA7CD3">
            <w:pPr>
              <w:spacing w:line="276" w:lineRule="auto"/>
              <w:ind w:left="708" w:hanging="708"/>
              <w:jc w:val="both"/>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Manual</w:t>
            </w:r>
            <w:r w:rsidRPr="00582936">
              <w:rPr>
                <w:rFonts w:ascii="Century Gothic" w:eastAsia="Times New Roman" w:hAnsi="Century Gothic" w:cs="Times New Roman"/>
                <w:bCs/>
                <w:iCs/>
                <w:color w:val="6E6E7C"/>
                <w:sz w:val="16"/>
                <w:szCs w:val="16"/>
                <w:lang w:eastAsia="es-EC"/>
              </w:rPr>
              <w:t xml:space="preserve"> del encuestador </w:t>
            </w:r>
            <w:r>
              <w:rPr>
                <w:rFonts w:ascii="Century Gothic" w:eastAsia="Times New Roman" w:hAnsi="Century Gothic" w:cs="Times New Roman"/>
                <w:bCs/>
                <w:iCs/>
                <w:color w:val="6E6E7C"/>
                <w:sz w:val="16"/>
                <w:szCs w:val="16"/>
                <w:lang w:eastAsia="es-EC"/>
              </w:rPr>
              <w:t xml:space="preserve">y crítica </w:t>
            </w:r>
            <w:r w:rsidRPr="00582936">
              <w:rPr>
                <w:rFonts w:ascii="Century Gothic" w:eastAsia="Times New Roman" w:hAnsi="Century Gothic" w:cs="Times New Roman"/>
                <w:bCs/>
                <w:iCs/>
                <w:color w:val="6E6E7C"/>
                <w:sz w:val="16"/>
                <w:szCs w:val="16"/>
                <w:lang w:eastAsia="es-EC"/>
              </w:rPr>
              <w:t>en formato PDF.</w:t>
            </w:r>
          </w:p>
        </w:tc>
        <w:tc>
          <w:tcPr>
            <w:tcW w:w="1352" w:type="dxa"/>
            <w:shd w:val="clear" w:color="auto" w:fill="FFFFFF"/>
            <w:vAlign w:val="center"/>
          </w:tcPr>
          <w:p w14:paraId="0FA594C3"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5E48A97F"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44292BFE" w14:textId="77777777" w:rsidTr="009442BC">
        <w:trPr>
          <w:trHeight w:val="257"/>
          <w:jc w:val="center"/>
        </w:trPr>
        <w:tc>
          <w:tcPr>
            <w:tcW w:w="2000" w:type="dxa"/>
            <w:shd w:val="clear" w:color="auto" w:fill="FFFFFF"/>
            <w:vAlign w:val="center"/>
            <w:hideMark/>
          </w:tcPr>
          <w:p w14:paraId="757A256B"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 xml:space="preserve">Diseño muestral y marco de muestreo </w:t>
            </w:r>
          </w:p>
        </w:tc>
        <w:tc>
          <w:tcPr>
            <w:tcW w:w="4014" w:type="dxa"/>
            <w:shd w:val="clear" w:color="auto" w:fill="FFFFFF"/>
            <w:vAlign w:val="center"/>
            <w:hideMark/>
          </w:tcPr>
          <w:p w14:paraId="69FA72BA"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Documento ampliado sobre el proceso metodológico de diseño muestral.</w:t>
            </w:r>
          </w:p>
        </w:tc>
        <w:tc>
          <w:tcPr>
            <w:tcW w:w="1352" w:type="dxa"/>
            <w:shd w:val="clear" w:color="auto" w:fill="FFFFFF"/>
            <w:vAlign w:val="center"/>
          </w:tcPr>
          <w:p w14:paraId="48104953"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33D9C361"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0EF2B101" w14:textId="77777777" w:rsidTr="009442BC">
        <w:trPr>
          <w:trHeight w:val="259"/>
          <w:jc w:val="center"/>
        </w:trPr>
        <w:tc>
          <w:tcPr>
            <w:tcW w:w="2000" w:type="dxa"/>
            <w:shd w:val="clear" w:color="auto" w:fill="FFFFFF"/>
            <w:vAlign w:val="center"/>
            <w:hideMark/>
          </w:tcPr>
          <w:p w14:paraId="7A897B3F"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Historia de la operación estadística</w:t>
            </w:r>
          </w:p>
        </w:tc>
        <w:tc>
          <w:tcPr>
            <w:tcW w:w="4014" w:type="dxa"/>
            <w:shd w:val="clear" w:color="auto" w:fill="FFFFFF"/>
            <w:vAlign w:val="center"/>
            <w:hideMark/>
          </w:tcPr>
          <w:p w14:paraId="074A2723"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Descripción de los hitos principales y evolución de la operación estadística.</w:t>
            </w:r>
          </w:p>
        </w:tc>
        <w:tc>
          <w:tcPr>
            <w:tcW w:w="1352" w:type="dxa"/>
            <w:shd w:val="clear" w:color="auto" w:fill="FFFFFF"/>
            <w:vAlign w:val="center"/>
          </w:tcPr>
          <w:p w14:paraId="42CC17F2"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2ABF7B87"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3CE768CF" w14:textId="77777777" w:rsidTr="009442BC">
        <w:trPr>
          <w:trHeight w:val="259"/>
          <w:jc w:val="center"/>
        </w:trPr>
        <w:tc>
          <w:tcPr>
            <w:tcW w:w="2000" w:type="dxa"/>
            <w:shd w:val="clear" w:color="auto" w:fill="FFFFFF"/>
            <w:vAlign w:val="center"/>
          </w:tcPr>
          <w:p w14:paraId="0F7D275E"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Visualizador</w:t>
            </w:r>
          </w:p>
        </w:tc>
        <w:tc>
          <w:tcPr>
            <w:tcW w:w="4014" w:type="dxa"/>
            <w:shd w:val="clear" w:color="auto" w:fill="FFFFFF"/>
            <w:vAlign w:val="center"/>
          </w:tcPr>
          <w:p w14:paraId="4F5BF6DF"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 xml:space="preserve">Es una herramienta de visualización para presentar resultados de una fuente específica de datos, convirtiéndolos en tablas, gráficos, cuadros de mando, etc. </w:t>
            </w:r>
          </w:p>
        </w:tc>
        <w:tc>
          <w:tcPr>
            <w:tcW w:w="1352" w:type="dxa"/>
            <w:shd w:val="clear" w:color="auto" w:fill="FFFFFF"/>
            <w:vAlign w:val="center"/>
          </w:tcPr>
          <w:p w14:paraId="161AABEC"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Página Web</w:t>
            </w:r>
          </w:p>
        </w:tc>
        <w:tc>
          <w:tcPr>
            <w:tcW w:w="1418" w:type="dxa"/>
            <w:shd w:val="clear" w:color="auto" w:fill="FFFFFF"/>
            <w:vAlign w:val="center"/>
          </w:tcPr>
          <w:p w14:paraId="18422739"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2016 – 2022</w:t>
            </w:r>
          </w:p>
        </w:tc>
      </w:tr>
      <w:tr w:rsidR="009442BC" w:rsidRPr="00582936" w14:paraId="33C98AFC" w14:textId="77777777" w:rsidTr="009442BC">
        <w:trPr>
          <w:trHeight w:val="259"/>
          <w:jc w:val="center"/>
        </w:trPr>
        <w:tc>
          <w:tcPr>
            <w:tcW w:w="2000" w:type="dxa"/>
            <w:shd w:val="clear" w:color="auto" w:fill="FFFFFF"/>
            <w:vAlign w:val="center"/>
          </w:tcPr>
          <w:p w14:paraId="14ACA265" w14:textId="77777777" w:rsidR="009442BC" w:rsidRPr="00582936" w:rsidRDefault="009442BC" w:rsidP="00EA7CD3">
            <w:pPr>
              <w:spacing w:line="276" w:lineRule="auto"/>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Guía del usuario</w:t>
            </w:r>
          </w:p>
        </w:tc>
        <w:tc>
          <w:tcPr>
            <w:tcW w:w="4014" w:type="dxa"/>
            <w:shd w:val="clear" w:color="auto" w:fill="FFFFFF"/>
            <w:vAlign w:val="center"/>
          </w:tcPr>
          <w:p w14:paraId="3DDEC453" w14:textId="77777777" w:rsidR="009442BC" w:rsidRPr="00582936" w:rsidRDefault="009442BC" w:rsidP="00EA7CD3">
            <w:pPr>
              <w:spacing w:line="276" w:lineRule="auto"/>
              <w:jc w:val="both"/>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Documento que facilita el manejo de las bases de datos de la encuesta.</w:t>
            </w:r>
          </w:p>
        </w:tc>
        <w:tc>
          <w:tcPr>
            <w:tcW w:w="1352" w:type="dxa"/>
            <w:shd w:val="clear" w:color="auto" w:fill="FFFFFF"/>
            <w:vAlign w:val="center"/>
          </w:tcPr>
          <w:p w14:paraId="261E7082" w14:textId="77777777" w:rsidR="009442BC" w:rsidRPr="00582936" w:rsidRDefault="009442BC" w:rsidP="009442BC">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Página web y </w:t>
            </w:r>
            <w:r w:rsidRPr="009442BC">
              <w:rPr>
                <w:rFonts w:ascii="Century Gothic" w:eastAsia="Times New Roman" w:hAnsi="Century Gothic" w:cs="Times New Roman"/>
                <w:bCs/>
                <w:iCs/>
                <w:color w:val="6E6E7C"/>
                <w:sz w:val="16"/>
                <w:szCs w:val="16"/>
                <w:lang w:eastAsia="es-EC"/>
              </w:rPr>
              <w:t>banco de datos abiertos</w:t>
            </w:r>
          </w:p>
        </w:tc>
        <w:tc>
          <w:tcPr>
            <w:tcW w:w="1418" w:type="dxa"/>
            <w:shd w:val="clear" w:color="auto" w:fill="FFFFFF"/>
            <w:vAlign w:val="center"/>
          </w:tcPr>
          <w:p w14:paraId="78CEE239" w14:textId="77777777" w:rsidR="009442BC" w:rsidRPr="00582936" w:rsidRDefault="009442BC" w:rsidP="00E64EA5">
            <w:pPr>
              <w:spacing w:line="276" w:lineRule="auto"/>
              <w:jc w:val="center"/>
              <w:rPr>
                <w:rFonts w:ascii="Century Gothic" w:eastAsia="Times New Roman" w:hAnsi="Century Gothic" w:cs="Times New Roman"/>
                <w:bCs/>
                <w:iCs/>
                <w:color w:val="6E6E7C"/>
                <w:sz w:val="16"/>
                <w:szCs w:val="16"/>
                <w:lang w:eastAsia="es-EC"/>
              </w:rPr>
            </w:pPr>
            <w:r w:rsidRPr="00582936">
              <w:rPr>
                <w:rFonts w:ascii="Century Gothic" w:eastAsia="Times New Roman" w:hAnsi="Century Gothic" w:cs="Times New Roman"/>
                <w:bCs/>
                <w:iCs/>
                <w:color w:val="6E6E7C"/>
                <w:sz w:val="16"/>
                <w:szCs w:val="16"/>
                <w:lang w:eastAsia="es-EC"/>
              </w:rPr>
              <w:t>2019 – 2022</w:t>
            </w:r>
          </w:p>
        </w:tc>
      </w:tr>
    </w:tbl>
    <w:bookmarkEnd w:id="425"/>
    <w:bookmarkEnd w:id="426"/>
    <w:p w14:paraId="55E5BD23" w14:textId="77777777" w:rsidR="00EA7CD3" w:rsidRPr="00582936" w:rsidRDefault="00EA7CD3" w:rsidP="00EA7CD3">
      <w:pPr>
        <w:ind w:left="708"/>
        <w:rPr>
          <w:rFonts w:ascii="Century Gothic" w:eastAsia="Calibri" w:hAnsi="Century Gothic" w:cs="Times New Roman"/>
          <w:iCs/>
          <w:color w:val="6E6E7C"/>
          <w:sz w:val="16"/>
          <w:szCs w:val="16"/>
          <w:lang w:eastAsia="es-EC"/>
        </w:rPr>
      </w:pPr>
      <w:r w:rsidRPr="00582936">
        <w:rPr>
          <w:rFonts w:ascii="Century Gothic" w:eastAsia="Calibri" w:hAnsi="Century Gothic" w:cs="Times New Roman"/>
          <w:b/>
          <w:iCs/>
          <w:color w:val="6E6E7C"/>
          <w:sz w:val="16"/>
          <w:szCs w:val="16"/>
          <w:lang w:eastAsia="es-EC"/>
        </w:rPr>
        <w:t xml:space="preserve">Fuente: </w:t>
      </w:r>
      <w:r w:rsidRPr="00582936">
        <w:rPr>
          <w:rFonts w:ascii="Century Gothic" w:eastAsia="Calibri" w:hAnsi="Century Gothic" w:cs="Times New Roman"/>
          <w:bCs/>
          <w:iCs/>
          <w:color w:val="6E6E7C"/>
          <w:sz w:val="16"/>
          <w:szCs w:val="16"/>
        </w:rPr>
        <w:t>INEC, Encuesta Estructural Empresarial (ENESEM 2022).</w:t>
      </w:r>
    </w:p>
    <w:p w14:paraId="6995CE84" w14:textId="77777777" w:rsidR="00EA7CD3" w:rsidRPr="00582936" w:rsidRDefault="00EA7CD3" w:rsidP="00EA7CD3">
      <w:pPr>
        <w:spacing w:line="276" w:lineRule="auto"/>
        <w:ind w:left="708" w:right="4"/>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Elaboración:</w:t>
      </w:r>
      <w:r w:rsidRPr="00582936">
        <w:rPr>
          <w:rFonts w:ascii="Century Gothic" w:eastAsia="Calibri" w:hAnsi="Century Gothic" w:cs="Calibri"/>
          <w:iCs/>
          <w:color w:val="6E6E7C"/>
          <w:sz w:val="16"/>
          <w:szCs w:val="16"/>
        </w:rPr>
        <w:t xml:space="preserve"> Gestión de Estadísticas Estructurales (GESE).</w:t>
      </w:r>
    </w:p>
    <w:p w14:paraId="33207FE3" w14:textId="77777777" w:rsidR="00EA7CD3" w:rsidRPr="00582936" w:rsidRDefault="00EA7CD3" w:rsidP="00EA7CD3">
      <w:pPr>
        <w:rPr>
          <w:rFonts w:ascii="Century Gothic" w:hAnsi="Century Gothic"/>
          <w:color w:val="6E6E7C"/>
        </w:rPr>
      </w:pPr>
    </w:p>
    <w:p w14:paraId="00D6EA74" w14:textId="77777777" w:rsidR="00BC517C" w:rsidRPr="00D27640" w:rsidRDefault="00BC517C" w:rsidP="0094052A">
      <w:pPr>
        <w:pStyle w:val="Ttulo2"/>
        <w:numPr>
          <w:ilvl w:val="1"/>
          <w:numId w:val="1"/>
        </w:numPr>
        <w:spacing w:before="0" w:line="276" w:lineRule="auto"/>
        <w:jc w:val="both"/>
        <w:rPr>
          <w:rFonts w:eastAsiaTheme="minorHAnsi" w:cstheme="minorBidi"/>
          <w:bCs/>
          <w:color w:val="6E6E7C"/>
          <w:sz w:val="28"/>
          <w:szCs w:val="44"/>
        </w:rPr>
      </w:pPr>
      <w:bookmarkStart w:id="436" w:name="_Toc126658019"/>
      <w:bookmarkStart w:id="437" w:name="_Toc148617367"/>
      <w:bookmarkStart w:id="438" w:name="_Toc161322586"/>
      <w:r w:rsidRPr="00D27640">
        <w:rPr>
          <w:rFonts w:eastAsiaTheme="minorHAnsi" w:cstheme="minorBidi"/>
          <w:bCs/>
          <w:color w:val="6E6E7C"/>
          <w:sz w:val="28"/>
          <w:szCs w:val="44"/>
        </w:rPr>
        <w:t>Control de difusión</w:t>
      </w:r>
      <w:bookmarkEnd w:id="436"/>
      <w:bookmarkEnd w:id="437"/>
      <w:bookmarkEnd w:id="438"/>
      <w:r w:rsidRPr="00D27640">
        <w:rPr>
          <w:rFonts w:eastAsiaTheme="minorHAnsi" w:cstheme="minorBidi"/>
          <w:bCs/>
          <w:color w:val="6E6E7C"/>
          <w:sz w:val="28"/>
          <w:szCs w:val="44"/>
        </w:rPr>
        <w:t xml:space="preserve"> </w:t>
      </w:r>
    </w:p>
    <w:p w14:paraId="4FED2674" w14:textId="77777777" w:rsidR="00A62546" w:rsidRPr="00582936" w:rsidRDefault="00A62546" w:rsidP="00AB62B7">
      <w:pPr>
        <w:spacing w:before="240"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Este proceso garantiza que los datos y metadatos a ser difundidos no infrinjan las normas en materia de confidencialidad estadística. En este contexto, las bases de datos publicadas por la ENESEM no cuentan con variables de identificación, de acuerdo con lo dispuesto en el artículo 21 de la Ley Estadística vigente, misma que menciona lo siguiente, “…no podrán darse a conocer informaciones individuales de ninguna especie (…). Solo se darán a conocer los resúmenes numéricos, las concentraciones globales, las totalizaciones y, en general, los datos impersonales.”</w:t>
      </w:r>
      <w:r w:rsidR="007F75DA">
        <w:rPr>
          <w:rFonts w:ascii="Century Gothic" w:eastAsia="Calibri" w:hAnsi="Century Gothic" w:cs="Times New Roman"/>
          <w:iCs/>
          <w:color w:val="6E6E7C"/>
          <w:sz w:val="21"/>
          <w:szCs w:val="21"/>
        </w:rPr>
        <w:t xml:space="preserve"> </w:t>
      </w:r>
      <w:r w:rsidR="00AB62B7">
        <w:rPr>
          <w:rFonts w:ascii="Century Gothic" w:eastAsia="Calibri" w:hAnsi="Century Gothic" w:cs="Times New Roman"/>
          <w:iCs/>
          <w:color w:val="6E6E7C"/>
          <w:sz w:val="21"/>
          <w:szCs w:val="21"/>
        </w:rPr>
        <w:t>Así</w:t>
      </w:r>
      <w:r w:rsidR="007F75DA">
        <w:rPr>
          <w:rFonts w:ascii="Century Gothic" w:eastAsia="Calibri" w:hAnsi="Century Gothic" w:cs="Times New Roman"/>
          <w:iCs/>
          <w:color w:val="6E6E7C"/>
          <w:sz w:val="21"/>
          <w:szCs w:val="21"/>
        </w:rPr>
        <w:t xml:space="preserve"> </w:t>
      </w:r>
      <w:r w:rsidR="00CF3585">
        <w:rPr>
          <w:rFonts w:ascii="Century Gothic" w:eastAsia="Calibri" w:hAnsi="Century Gothic" w:cs="Times New Roman"/>
          <w:iCs/>
          <w:color w:val="6E6E7C"/>
          <w:sz w:val="21"/>
          <w:szCs w:val="21"/>
        </w:rPr>
        <w:t xml:space="preserve">también, </w:t>
      </w:r>
      <w:r w:rsidR="00AB62B7">
        <w:rPr>
          <w:rFonts w:ascii="Century Gothic" w:eastAsia="Calibri" w:hAnsi="Century Gothic" w:cs="Times New Roman"/>
          <w:iCs/>
          <w:color w:val="6E6E7C"/>
          <w:sz w:val="21"/>
          <w:szCs w:val="21"/>
        </w:rPr>
        <w:t>el artículo 10 de la Ley de Protección de datos Personales donde se manifiesta que “</w:t>
      </w:r>
      <w:r w:rsidR="00AB62B7" w:rsidRPr="00AB62B7">
        <w:rPr>
          <w:rFonts w:ascii="Century Gothic" w:eastAsia="Calibri" w:hAnsi="Century Gothic" w:cs="Times New Roman"/>
          <w:iCs/>
          <w:color w:val="6E6E7C"/>
          <w:sz w:val="21"/>
          <w:szCs w:val="21"/>
        </w:rPr>
        <w:t>Los responsables y encarga</w:t>
      </w:r>
      <w:r w:rsidR="00AB62B7">
        <w:rPr>
          <w:rFonts w:ascii="Century Gothic" w:eastAsia="Calibri" w:hAnsi="Century Gothic" w:cs="Times New Roman"/>
          <w:iCs/>
          <w:color w:val="6E6E7C"/>
          <w:sz w:val="21"/>
          <w:szCs w:val="21"/>
        </w:rPr>
        <w:t xml:space="preserve">dos de tratamiento de los datos </w:t>
      </w:r>
      <w:r w:rsidR="00AB62B7" w:rsidRPr="00AB62B7">
        <w:rPr>
          <w:rFonts w:ascii="Century Gothic" w:eastAsia="Calibri" w:hAnsi="Century Gothic" w:cs="Times New Roman"/>
          <w:iCs/>
          <w:color w:val="6E6E7C"/>
          <w:sz w:val="21"/>
          <w:szCs w:val="21"/>
        </w:rPr>
        <w:t>personales deberán implementar todas las medidas de se</w:t>
      </w:r>
      <w:r w:rsidR="00AB62B7">
        <w:rPr>
          <w:rFonts w:ascii="Century Gothic" w:eastAsia="Calibri" w:hAnsi="Century Gothic" w:cs="Times New Roman"/>
          <w:iCs/>
          <w:color w:val="6E6E7C"/>
          <w:sz w:val="21"/>
          <w:szCs w:val="21"/>
        </w:rPr>
        <w:t xml:space="preserve">guridad adecuadas y necesarias, (…) </w:t>
      </w:r>
      <w:r w:rsidR="00AB62B7" w:rsidRPr="00AB62B7">
        <w:rPr>
          <w:rFonts w:ascii="Century Gothic" w:eastAsia="Calibri" w:hAnsi="Century Gothic" w:cs="Times New Roman"/>
          <w:iCs/>
          <w:color w:val="6E6E7C"/>
          <w:sz w:val="21"/>
          <w:szCs w:val="21"/>
        </w:rPr>
        <w:t>para proteger los datos personales frent</w:t>
      </w:r>
      <w:r w:rsidR="00AB62B7">
        <w:rPr>
          <w:rFonts w:ascii="Century Gothic" w:eastAsia="Calibri" w:hAnsi="Century Gothic" w:cs="Times New Roman"/>
          <w:iCs/>
          <w:color w:val="6E6E7C"/>
          <w:sz w:val="21"/>
          <w:szCs w:val="21"/>
        </w:rPr>
        <w:t xml:space="preserve">e a cualquier riesgo, amenaza, </w:t>
      </w:r>
      <w:r w:rsidR="00AB62B7" w:rsidRPr="00AB62B7">
        <w:rPr>
          <w:rFonts w:ascii="Century Gothic" w:eastAsia="Calibri" w:hAnsi="Century Gothic" w:cs="Times New Roman"/>
          <w:iCs/>
          <w:color w:val="6E6E7C"/>
          <w:sz w:val="21"/>
          <w:szCs w:val="21"/>
        </w:rPr>
        <w:t>vulnerabilidad, atendiendo a la naturaleza de los datos</w:t>
      </w:r>
      <w:r w:rsidR="00AB62B7">
        <w:rPr>
          <w:rFonts w:ascii="Century Gothic" w:eastAsia="Calibri" w:hAnsi="Century Gothic" w:cs="Times New Roman"/>
          <w:iCs/>
          <w:color w:val="6E6E7C"/>
          <w:sz w:val="21"/>
          <w:szCs w:val="21"/>
        </w:rPr>
        <w:t xml:space="preserve"> (…).”</w:t>
      </w:r>
    </w:p>
    <w:p w14:paraId="57E90077" w14:textId="77777777" w:rsidR="003F2B83" w:rsidRPr="00582936" w:rsidRDefault="00A62546" w:rsidP="003F2B83">
      <w:pPr>
        <w:spacing w:before="240" w:after="160" w:line="276" w:lineRule="auto"/>
        <w:jc w:val="both"/>
        <w:rPr>
          <w:rFonts w:ascii="Century Gothic" w:eastAsia="Calibri" w:hAnsi="Century Gothic" w:cs="Times New Roman"/>
          <w:bCs/>
          <w:iCs/>
          <w:color w:val="6E6E7C"/>
          <w:sz w:val="21"/>
          <w:szCs w:val="21"/>
          <w:lang w:eastAsia="es-EC"/>
        </w:rPr>
      </w:pPr>
      <w:r w:rsidRPr="00582936">
        <w:rPr>
          <w:rFonts w:ascii="Century Gothic" w:eastAsia="Calibri" w:hAnsi="Century Gothic" w:cs="Times New Roman"/>
          <w:bCs/>
          <w:iCs/>
          <w:color w:val="6E6E7C"/>
          <w:sz w:val="21"/>
          <w:szCs w:val="21"/>
          <w:lang w:val="es-ES" w:eastAsia="es-EC"/>
        </w:rPr>
        <w:t xml:space="preserve">Es así </w:t>
      </w:r>
      <w:r w:rsidR="006B6766" w:rsidRPr="00582936">
        <w:rPr>
          <w:rFonts w:ascii="Century Gothic" w:eastAsia="Calibri" w:hAnsi="Century Gothic" w:cs="Times New Roman"/>
          <w:bCs/>
          <w:iCs/>
          <w:color w:val="6E6E7C"/>
          <w:sz w:val="21"/>
          <w:szCs w:val="21"/>
          <w:lang w:val="es-ES" w:eastAsia="es-EC"/>
        </w:rPr>
        <w:t>como</w:t>
      </w:r>
      <w:r w:rsidRPr="00582936">
        <w:rPr>
          <w:rFonts w:ascii="Century Gothic" w:eastAsia="Calibri" w:hAnsi="Century Gothic" w:cs="Times New Roman"/>
          <w:bCs/>
          <w:iCs/>
          <w:color w:val="6E6E7C"/>
          <w:sz w:val="21"/>
          <w:szCs w:val="21"/>
          <w:lang w:val="es-ES" w:eastAsia="es-EC"/>
        </w:rPr>
        <w:t>, u</w:t>
      </w:r>
      <w:r w:rsidR="003F2B83" w:rsidRPr="00582936">
        <w:rPr>
          <w:rFonts w:ascii="Century Gothic" w:eastAsia="Calibri" w:hAnsi="Century Gothic" w:cs="Times New Roman"/>
          <w:bCs/>
          <w:iCs/>
          <w:color w:val="6E6E7C"/>
          <w:sz w:val="21"/>
          <w:szCs w:val="21"/>
          <w:lang w:val="es-ES" w:eastAsia="es-EC"/>
        </w:rPr>
        <w:t>na</w:t>
      </w:r>
      <w:r w:rsidR="003F2B83" w:rsidRPr="00582936">
        <w:rPr>
          <w:rFonts w:ascii="Century Gothic" w:eastAsia="Calibri" w:hAnsi="Century Gothic" w:cs="Times New Roman"/>
          <w:bCs/>
          <w:iCs/>
          <w:color w:val="6E6E7C"/>
          <w:sz w:val="21"/>
          <w:szCs w:val="21"/>
          <w:lang w:eastAsia="es-EC"/>
        </w:rPr>
        <w:t xml:space="preserve"> vez que se </w:t>
      </w:r>
      <w:r w:rsidR="003F2B83" w:rsidRPr="00582936">
        <w:rPr>
          <w:rFonts w:ascii="Century Gothic" w:eastAsia="Calibri" w:hAnsi="Century Gothic" w:cs="Times New Roman"/>
          <w:bCs/>
          <w:iCs/>
          <w:color w:val="6E6E7C"/>
          <w:sz w:val="21"/>
          <w:szCs w:val="21"/>
          <w:lang w:val="es-ES" w:eastAsia="es-EC"/>
        </w:rPr>
        <w:t xml:space="preserve">obtienen </w:t>
      </w:r>
      <w:r w:rsidR="003F2B83" w:rsidRPr="00582936">
        <w:rPr>
          <w:rFonts w:ascii="Century Gothic" w:eastAsia="Calibri" w:hAnsi="Century Gothic" w:cs="Times New Roman"/>
          <w:bCs/>
          <w:iCs/>
          <w:color w:val="6E6E7C"/>
          <w:sz w:val="21"/>
          <w:szCs w:val="21"/>
          <w:lang w:eastAsia="es-EC"/>
        </w:rPr>
        <w:t xml:space="preserve">los productos finales de la ENESEM, se </w:t>
      </w:r>
      <w:r w:rsidR="003F2B83" w:rsidRPr="00582936">
        <w:rPr>
          <w:rFonts w:ascii="Century Gothic" w:eastAsia="Calibri" w:hAnsi="Century Gothic" w:cs="Times New Roman"/>
          <w:bCs/>
          <w:iCs/>
          <w:color w:val="6E6E7C"/>
          <w:sz w:val="21"/>
          <w:szCs w:val="21"/>
          <w:lang w:val="es-ES" w:eastAsia="es-EC"/>
        </w:rPr>
        <w:t>inicia</w:t>
      </w:r>
      <w:r w:rsidR="003F2B83" w:rsidRPr="00582936">
        <w:rPr>
          <w:rFonts w:ascii="Century Gothic" w:eastAsia="Calibri" w:hAnsi="Century Gothic" w:cs="Times New Roman"/>
          <w:bCs/>
          <w:iCs/>
          <w:color w:val="6E6E7C"/>
          <w:sz w:val="21"/>
          <w:szCs w:val="21"/>
          <w:lang w:eastAsia="es-EC"/>
        </w:rPr>
        <w:t xml:space="preserve"> el proceso de revisión y aprobación por parte de las máximas autoridades. La </w:t>
      </w:r>
      <w:r w:rsidR="003F2B83" w:rsidRPr="00582936">
        <w:rPr>
          <w:rFonts w:ascii="Century Gothic" w:eastAsia="Calibri" w:hAnsi="Century Gothic" w:cs="Times New Roman"/>
          <w:bCs/>
          <w:iCs/>
          <w:color w:val="6E6E7C"/>
          <w:sz w:val="21"/>
          <w:szCs w:val="21"/>
          <w:lang w:val="es-ES" w:eastAsia="es-EC"/>
        </w:rPr>
        <w:t>comunicación</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es</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un</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pilar</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fundamental</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para</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difundir</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y</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promocionar</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las</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estadísticas</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generadas por el INEC</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a</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la</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vez</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incentiva la cultura estadística, ligada a la entrega de la información a usuarios, ya</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sean</w:t>
      </w:r>
      <w:r w:rsidR="003F2B83" w:rsidRPr="00582936">
        <w:rPr>
          <w:rFonts w:ascii="Century Gothic" w:eastAsia="Calibri" w:hAnsi="Century Gothic" w:cs="Times New Roman"/>
          <w:bCs/>
          <w:iCs/>
          <w:color w:val="6E6E7C"/>
          <w:sz w:val="21"/>
          <w:szCs w:val="21"/>
          <w:lang w:eastAsia="es-EC"/>
        </w:rPr>
        <w:t xml:space="preserve"> </w:t>
      </w:r>
      <w:r w:rsidR="003F2B83" w:rsidRPr="00582936">
        <w:rPr>
          <w:rFonts w:ascii="Century Gothic" w:eastAsia="Calibri" w:hAnsi="Century Gothic" w:cs="Times New Roman"/>
          <w:bCs/>
          <w:iCs/>
          <w:color w:val="6E6E7C"/>
          <w:sz w:val="21"/>
          <w:szCs w:val="21"/>
          <w:lang w:val="es-ES" w:eastAsia="es-EC"/>
        </w:rPr>
        <w:t xml:space="preserve">públicos o privados. </w:t>
      </w:r>
    </w:p>
    <w:p w14:paraId="20C3AFBF" w14:textId="77777777" w:rsidR="003F2B83" w:rsidRPr="00582936" w:rsidRDefault="003F2B83" w:rsidP="003F2B83">
      <w:pPr>
        <w:spacing w:before="240" w:after="160" w:line="276" w:lineRule="auto"/>
        <w:jc w:val="both"/>
        <w:rPr>
          <w:rFonts w:ascii="Century Gothic" w:eastAsia="Calibri" w:hAnsi="Century Gothic" w:cs="Times New Roman"/>
          <w:bCs/>
          <w:iCs/>
          <w:color w:val="6E6E7C"/>
          <w:sz w:val="21"/>
          <w:szCs w:val="21"/>
          <w:lang w:val="es-ES" w:eastAsia="es-EC"/>
        </w:rPr>
      </w:pPr>
      <w:r w:rsidRPr="00582936">
        <w:rPr>
          <w:rFonts w:ascii="Century Gothic" w:eastAsia="Calibri" w:hAnsi="Century Gothic" w:cs="Times New Roman"/>
          <w:bCs/>
          <w:iCs/>
          <w:color w:val="6E6E7C"/>
          <w:sz w:val="21"/>
          <w:szCs w:val="21"/>
          <w:lang w:eastAsia="es-EC"/>
        </w:rPr>
        <w:t xml:space="preserve">En este sentido, una vez que se aprueba los </w:t>
      </w:r>
      <w:r w:rsidRPr="00582936">
        <w:rPr>
          <w:rFonts w:ascii="Century Gothic" w:eastAsia="Calibri" w:hAnsi="Century Gothic" w:cs="Times New Roman"/>
          <w:bCs/>
          <w:iCs/>
          <w:color w:val="6E6E7C"/>
          <w:sz w:val="21"/>
          <w:szCs w:val="21"/>
          <w:lang w:val="es-ES" w:eastAsia="es-EC"/>
        </w:rPr>
        <w:t>productos</w:t>
      </w:r>
      <w:r w:rsidRPr="00582936">
        <w:rPr>
          <w:rFonts w:ascii="Century Gothic" w:eastAsia="Calibri" w:hAnsi="Century Gothic" w:cs="Times New Roman"/>
          <w:bCs/>
          <w:iCs/>
          <w:color w:val="6E6E7C"/>
          <w:sz w:val="21"/>
          <w:szCs w:val="21"/>
          <w:lang w:eastAsia="es-EC"/>
        </w:rPr>
        <w:t xml:space="preserve"> </w:t>
      </w:r>
      <w:r w:rsidRPr="00582936">
        <w:rPr>
          <w:rFonts w:ascii="Century Gothic" w:eastAsia="Calibri" w:hAnsi="Century Gothic" w:cs="Times New Roman"/>
          <w:bCs/>
          <w:iCs/>
          <w:color w:val="6E6E7C"/>
          <w:sz w:val="21"/>
          <w:szCs w:val="21"/>
          <w:lang w:val="es-ES" w:eastAsia="es-EC"/>
        </w:rPr>
        <w:t>de publicación</w:t>
      </w:r>
      <w:r w:rsidRPr="00582936">
        <w:rPr>
          <w:rFonts w:ascii="Century Gothic" w:eastAsia="Calibri" w:hAnsi="Century Gothic" w:cs="Times New Roman"/>
          <w:bCs/>
          <w:iCs/>
          <w:color w:val="6E6E7C"/>
          <w:sz w:val="21"/>
          <w:szCs w:val="21"/>
          <w:lang w:eastAsia="es-EC"/>
        </w:rPr>
        <w:t xml:space="preserve"> </w:t>
      </w:r>
      <w:r w:rsidRPr="00582936">
        <w:rPr>
          <w:rFonts w:ascii="Century Gothic" w:eastAsia="Calibri" w:hAnsi="Century Gothic" w:cs="Times New Roman"/>
          <w:bCs/>
          <w:iCs/>
          <w:color w:val="6E6E7C"/>
          <w:sz w:val="21"/>
          <w:szCs w:val="21"/>
          <w:lang w:val="es-ES" w:eastAsia="es-EC"/>
        </w:rPr>
        <w:t>de</w:t>
      </w:r>
      <w:r w:rsidRPr="00582936">
        <w:rPr>
          <w:rFonts w:ascii="Century Gothic" w:eastAsia="Calibri" w:hAnsi="Century Gothic" w:cs="Times New Roman"/>
          <w:bCs/>
          <w:iCs/>
          <w:color w:val="6E6E7C"/>
          <w:sz w:val="21"/>
          <w:szCs w:val="21"/>
          <w:lang w:eastAsia="es-EC"/>
        </w:rPr>
        <w:t xml:space="preserve"> </w:t>
      </w:r>
      <w:r w:rsidRPr="00582936">
        <w:rPr>
          <w:rFonts w:ascii="Century Gothic" w:eastAsia="Calibri" w:hAnsi="Century Gothic" w:cs="Times New Roman"/>
          <w:bCs/>
          <w:iCs/>
          <w:color w:val="6E6E7C"/>
          <w:sz w:val="21"/>
          <w:szCs w:val="21"/>
          <w:lang w:val="es-ES" w:eastAsia="es-EC"/>
        </w:rPr>
        <w:t>la</w:t>
      </w:r>
      <w:r w:rsidRPr="00582936">
        <w:rPr>
          <w:rFonts w:ascii="Century Gothic" w:eastAsia="Calibri" w:hAnsi="Century Gothic" w:cs="Times New Roman"/>
          <w:bCs/>
          <w:iCs/>
          <w:color w:val="6E6E7C"/>
          <w:sz w:val="21"/>
          <w:szCs w:val="21"/>
          <w:lang w:eastAsia="es-EC"/>
        </w:rPr>
        <w:t xml:space="preserve"> operación estadística, la Dirección de Comunicación Social </w:t>
      </w:r>
      <w:r w:rsidRPr="00582936">
        <w:rPr>
          <w:rFonts w:ascii="Century Gothic" w:eastAsia="Calibri" w:hAnsi="Century Gothic" w:cs="Times New Roman"/>
          <w:bCs/>
          <w:iCs/>
          <w:color w:val="6E6E7C"/>
          <w:sz w:val="21"/>
          <w:szCs w:val="21"/>
          <w:lang w:val="es-ES" w:eastAsia="es-EC"/>
        </w:rPr>
        <w:t>procede</w:t>
      </w:r>
      <w:r w:rsidRPr="00582936">
        <w:rPr>
          <w:rFonts w:ascii="Century Gothic" w:eastAsia="Calibri" w:hAnsi="Century Gothic" w:cs="Times New Roman"/>
          <w:bCs/>
          <w:iCs/>
          <w:color w:val="6E6E7C"/>
          <w:sz w:val="21"/>
          <w:szCs w:val="21"/>
          <w:lang w:eastAsia="es-EC"/>
        </w:rPr>
        <w:t xml:space="preserve"> </w:t>
      </w:r>
      <w:r w:rsidRPr="00582936">
        <w:rPr>
          <w:rFonts w:ascii="Century Gothic" w:eastAsia="Calibri" w:hAnsi="Century Gothic" w:cs="Times New Roman"/>
          <w:bCs/>
          <w:iCs/>
          <w:color w:val="6E6E7C"/>
          <w:sz w:val="21"/>
          <w:szCs w:val="21"/>
          <w:lang w:val="es-ES" w:eastAsia="es-EC"/>
        </w:rPr>
        <w:t>a</w:t>
      </w:r>
      <w:r w:rsidRPr="00582936">
        <w:rPr>
          <w:rFonts w:ascii="Century Gothic" w:eastAsia="Calibri" w:hAnsi="Century Gothic" w:cs="Times New Roman"/>
          <w:bCs/>
          <w:iCs/>
          <w:color w:val="6E6E7C"/>
          <w:sz w:val="21"/>
          <w:szCs w:val="21"/>
          <w:lang w:eastAsia="es-EC"/>
        </w:rPr>
        <w:t xml:space="preserve"> informar al público en general los resultados obtenidos mediante un plan de comunicación previamente aprobado.</w:t>
      </w:r>
    </w:p>
    <w:p w14:paraId="0E39F60D" w14:textId="77777777" w:rsidR="003F2B83" w:rsidRDefault="003F2B83" w:rsidP="003F2B83">
      <w:pPr>
        <w:spacing w:before="240" w:after="200" w:line="276" w:lineRule="auto"/>
        <w:jc w:val="both"/>
        <w:rPr>
          <w:rFonts w:ascii="Century Gothic" w:eastAsia="Calibri" w:hAnsi="Century Gothic" w:cs="Arial"/>
          <w:iCs/>
          <w:color w:val="6E6E7C"/>
          <w:sz w:val="21"/>
          <w:szCs w:val="21"/>
          <w:lang w:eastAsia="es-EC"/>
        </w:rPr>
      </w:pPr>
      <w:r w:rsidRPr="00582936">
        <w:rPr>
          <w:rFonts w:ascii="Century Gothic" w:eastAsia="Calibri" w:hAnsi="Century Gothic" w:cs="Arial"/>
          <w:iCs/>
          <w:color w:val="6E6E7C"/>
          <w:sz w:val="21"/>
          <w:szCs w:val="21"/>
          <w:lang w:eastAsia="es-EC"/>
        </w:rPr>
        <w:t>Los usuarios finales de la información son notificados sobre los nuevos productos y servicios a través de redes sociales, infografías, noticias y demás publicidad presentados en la página oficial de la entidad.</w:t>
      </w:r>
    </w:p>
    <w:tbl>
      <w:tblPr>
        <w:tblpPr w:leftFromText="141" w:rightFromText="141" w:vertAnchor="text" w:horzAnchor="margin" w:tblpY="275"/>
        <w:tblW w:w="8784" w:type="dxa"/>
        <w:tblBorders>
          <w:top w:val="single" w:sz="4" w:space="0" w:color="AEAAAA"/>
          <w:left w:val="single" w:sz="4" w:space="0" w:color="AEAAAA"/>
          <w:bottom w:val="single" w:sz="4" w:space="0" w:color="AEAAAA"/>
          <w:right w:val="single" w:sz="4" w:space="0" w:color="AEAAAA"/>
          <w:insideH w:val="single" w:sz="4" w:space="0" w:color="AEAAAA"/>
          <w:insideV w:val="single" w:sz="4" w:space="0" w:color="AEAAAA"/>
        </w:tblBorders>
        <w:tblLayout w:type="fixed"/>
        <w:tblCellMar>
          <w:left w:w="70" w:type="dxa"/>
          <w:right w:w="70" w:type="dxa"/>
        </w:tblCellMar>
        <w:tblLook w:val="04A0" w:firstRow="1" w:lastRow="0" w:firstColumn="1" w:lastColumn="0" w:noHBand="0" w:noVBand="1"/>
      </w:tblPr>
      <w:tblGrid>
        <w:gridCol w:w="1413"/>
        <w:gridCol w:w="2693"/>
        <w:gridCol w:w="1134"/>
        <w:gridCol w:w="2410"/>
        <w:gridCol w:w="1134"/>
      </w:tblGrid>
      <w:tr w:rsidR="00691263" w:rsidRPr="00582936" w14:paraId="4E41A0CE" w14:textId="77777777" w:rsidTr="00460317">
        <w:trPr>
          <w:trHeight w:val="784"/>
        </w:trPr>
        <w:tc>
          <w:tcPr>
            <w:tcW w:w="1413" w:type="dxa"/>
            <w:shd w:val="clear" w:color="auto" w:fill="4266CE"/>
            <w:noWrap/>
            <w:vAlign w:val="center"/>
            <w:hideMark/>
          </w:tcPr>
          <w:p w14:paraId="051B8741" w14:textId="77777777" w:rsidR="00691263" w:rsidRPr="00460317" w:rsidRDefault="00691263" w:rsidP="00460317">
            <w:pPr>
              <w:jc w:val="center"/>
              <w:rPr>
                <w:rFonts w:ascii="Century Gothic" w:eastAsia="Times New Roman" w:hAnsi="Century Gothic" w:cs="Calibri"/>
                <w:b/>
                <w:bCs/>
                <w:color w:val="FFFFFF" w:themeColor="background1"/>
                <w:sz w:val="16"/>
                <w:szCs w:val="16"/>
                <w:lang w:eastAsia="es-EC"/>
              </w:rPr>
            </w:pPr>
            <w:bookmarkStart w:id="439" w:name="_Toc161322609"/>
            <w:r w:rsidRPr="00460317">
              <w:rPr>
                <w:rFonts w:ascii="Century Gothic" w:eastAsia="Times New Roman" w:hAnsi="Century Gothic" w:cs="Calibri"/>
                <w:b/>
                <w:bCs/>
                <w:color w:val="FFFFFF" w:themeColor="background1"/>
                <w:sz w:val="16"/>
                <w:szCs w:val="16"/>
                <w:lang w:eastAsia="es-EC"/>
              </w:rPr>
              <w:lastRenderedPageBreak/>
              <w:t>Producto de difusión</w:t>
            </w:r>
          </w:p>
        </w:tc>
        <w:tc>
          <w:tcPr>
            <w:tcW w:w="2693" w:type="dxa"/>
            <w:shd w:val="clear" w:color="auto" w:fill="4266CE"/>
            <w:noWrap/>
            <w:vAlign w:val="center"/>
            <w:hideMark/>
          </w:tcPr>
          <w:p w14:paraId="0C206AA2" w14:textId="77777777" w:rsidR="00691263" w:rsidRPr="00460317" w:rsidRDefault="00691263" w:rsidP="00460317">
            <w:pPr>
              <w:ind w:left="-421"/>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Unidad/contenido</w:t>
            </w:r>
          </w:p>
        </w:tc>
        <w:tc>
          <w:tcPr>
            <w:tcW w:w="3544" w:type="dxa"/>
            <w:gridSpan w:val="2"/>
            <w:shd w:val="clear" w:color="auto" w:fill="4266CE"/>
            <w:vAlign w:val="center"/>
          </w:tcPr>
          <w:p w14:paraId="52A78E29" w14:textId="77777777" w:rsidR="00691263" w:rsidRPr="00460317" w:rsidRDefault="00691263" w:rsidP="00460317">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Repositorio</w:t>
            </w:r>
          </w:p>
        </w:tc>
        <w:tc>
          <w:tcPr>
            <w:tcW w:w="1134" w:type="dxa"/>
            <w:shd w:val="clear" w:color="auto" w:fill="4266CE"/>
            <w:vAlign w:val="center"/>
          </w:tcPr>
          <w:p w14:paraId="01059569" w14:textId="77777777" w:rsidR="00691263" w:rsidRPr="00460317" w:rsidRDefault="00691263" w:rsidP="00460317">
            <w:pPr>
              <w:jc w:val="center"/>
              <w:rPr>
                <w:rFonts w:ascii="Century Gothic" w:eastAsia="Times New Roman" w:hAnsi="Century Gothic" w:cs="Calibri"/>
                <w:b/>
                <w:bCs/>
                <w:color w:val="FFFFFF" w:themeColor="background1"/>
                <w:sz w:val="16"/>
                <w:szCs w:val="16"/>
                <w:lang w:eastAsia="es-EC"/>
              </w:rPr>
            </w:pPr>
            <w:r w:rsidRPr="00460317">
              <w:rPr>
                <w:rFonts w:ascii="Century Gothic" w:eastAsia="Times New Roman" w:hAnsi="Century Gothic" w:cs="Calibri"/>
                <w:b/>
                <w:bCs/>
                <w:color w:val="FFFFFF" w:themeColor="background1"/>
                <w:sz w:val="16"/>
                <w:szCs w:val="16"/>
                <w:lang w:eastAsia="es-EC"/>
              </w:rPr>
              <w:t xml:space="preserve">Periodicidad de publicación </w:t>
            </w:r>
          </w:p>
        </w:tc>
      </w:tr>
      <w:tr w:rsidR="00691263" w:rsidRPr="00582936" w14:paraId="3BF93098" w14:textId="77777777" w:rsidTr="00691263">
        <w:trPr>
          <w:trHeight w:val="251"/>
        </w:trPr>
        <w:tc>
          <w:tcPr>
            <w:tcW w:w="1413" w:type="dxa"/>
            <w:vMerge w:val="restart"/>
            <w:shd w:val="clear" w:color="auto" w:fill="FFFFFF"/>
            <w:vAlign w:val="center"/>
            <w:hideMark/>
          </w:tcPr>
          <w:p w14:paraId="46C2D980" w14:textId="77777777" w:rsidR="00691263" w:rsidRPr="00582936" w:rsidRDefault="00691263" w:rsidP="00691263">
            <w:pPr>
              <w:spacing w:line="276" w:lineRule="auto"/>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Redes sociales </w:t>
            </w:r>
          </w:p>
        </w:tc>
        <w:tc>
          <w:tcPr>
            <w:tcW w:w="2693" w:type="dxa"/>
            <w:vMerge w:val="restart"/>
            <w:shd w:val="clear" w:color="auto" w:fill="FFFFFF"/>
            <w:vAlign w:val="center"/>
            <w:hideMark/>
          </w:tcPr>
          <w:p w14:paraId="3C1EE090" w14:textId="77777777" w:rsidR="00691263" w:rsidRPr="00582936" w:rsidRDefault="00691263" w:rsidP="00691263">
            <w:pPr>
              <w:spacing w:line="276" w:lineRule="auto"/>
              <w:jc w:val="both"/>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 xml:space="preserve">Principales resultados de la </w:t>
            </w:r>
            <w:r w:rsidRPr="00906C5C">
              <w:rPr>
                <w:rFonts w:ascii="Century Gothic" w:eastAsia="Times New Roman" w:hAnsi="Century Gothic" w:cs="Times New Roman"/>
                <w:bCs/>
                <w:iCs/>
                <w:color w:val="6E6E7C"/>
                <w:sz w:val="16"/>
                <w:szCs w:val="16"/>
                <w:lang w:eastAsia="es-EC"/>
              </w:rPr>
              <w:t>operación estadística</w:t>
            </w:r>
          </w:p>
        </w:tc>
        <w:tc>
          <w:tcPr>
            <w:tcW w:w="1134" w:type="dxa"/>
            <w:shd w:val="clear" w:color="auto" w:fill="FFFFFF"/>
            <w:vAlign w:val="center"/>
          </w:tcPr>
          <w:p w14:paraId="0799BEB8" w14:textId="77777777" w:rsidR="00691263" w:rsidRPr="00582936" w:rsidRDefault="00691263" w:rsidP="00691263">
            <w:pPr>
              <w:spacing w:line="276" w:lineRule="auto"/>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Facebook</w:t>
            </w:r>
          </w:p>
        </w:tc>
        <w:tc>
          <w:tcPr>
            <w:tcW w:w="2410" w:type="dxa"/>
            <w:shd w:val="clear" w:color="auto" w:fill="FFFFFF"/>
            <w:vAlign w:val="center"/>
          </w:tcPr>
          <w:p w14:paraId="30365A7B" w14:textId="77777777" w:rsidR="00691263" w:rsidRPr="00582936" w:rsidRDefault="00691263" w:rsidP="00691263">
            <w:pPr>
              <w:spacing w:line="276" w:lineRule="auto"/>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https://www.facebook.co</w:t>
            </w:r>
            <w:r w:rsidRPr="007F75DA">
              <w:rPr>
                <w:rFonts w:ascii="Century Gothic" w:eastAsia="Times New Roman" w:hAnsi="Century Gothic" w:cs="Times New Roman"/>
                <w:bCs/>
                <w:iCs/>
                <w:color w:val="6E6E7C"/>
                <w:sz w:val="16"/>
                <w:szCs w:val="16"/>
                <w:lang w:eastAsia="es-EC"/>
              </w:rPr>
              <w:t>m/InecEcuador/ 2023</w:t>
            </w:r>
          </w:p>
        </w:tc>
        <w:tc>
          <w:tcPr>
            <w:tcW w:w="1134" w:type="dxa"/>
            <w:vMerge w:val="restart"/>
            <w:shd w:val="clear" w:color="auto" w:fill="FFFFFF"/>
            <w:vAlign w:val="center"/>
          </w:tcPr>
          <w:p w14:paraId="3039FF05" w14:textId="77777777" w:rsidR="00691263" w:rsidRPr="00582936" w:rsidRDefault="00691263" w:rsidP="00691263">
            <w:pPr>
              <w:spacing w:line="276" w:lineRule="auto"/>
              <w:jc w:val="center"/>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Anual</w:t>
            </w:r>
          </w:p>
        </w:tc>
      </w:tr>
      <w:tr w:rsidR="00691263" w:rsidRPr="00582936" w14:paraId="03AD9BCA" w14:textId="77777777" w:rsidTr="00691263">
        <w:trPr>
          <w:trHeight w:val="251"/>
        </w:trPr>
        <w:tc>
          <w:tcPr>
            <w:tcW w:w="1413" w:type="dxa"/>
            <w:vMerge/>
            <w:shd w:val="clear" w:color="auto" w:fill="FFFFFF"/>
            <w:vAlign w:val="center"/>
          </w:tcPr>
          <w:p w14:paraId="61C9FF86" w14:textId="77777777" w:rsidR="00691263" w:rsidRDefault="00691263" w:rsidP="00691263">
            <w:pPr>
              <w:spacing w:line="276" w:lineRule="auto"/>
              <w:rPr>
                <w:rFonts w:ascii="Century Gothic" w:eastAsia="Times New Roman" w:hAnsi="Century Gothic" w:cs="Times New Roman"/>
                <w:bCs/>
                <w:iCs/>
                <w:color w:val="6E6E7C"/>
                <w:sz w:val="16"/>
                <w:szCs w:val="16"/>
                <w:lang w:eastAsia="es-EC"/>
              </w:rPr>
            </w:pPr>
          </w:p>
        </w:tc>
        <w:tc>
          <w:tcPr>
            <w:tcW w:w="2693" w:type="dxa"/>
            <w:vMerge/>
            <w:shd w:val="clear" w:color="auto" w:fill="FFFFFF"/>
            <w:vAlign w:val="center"/>
          </w:tcPr>
          <w:p w14:paraId="1D5C9C63" w14:textId="77777777" w:rsidR="00691263" w:rsidRDefault="00691263" w:rsidP="00691263">
            <w:pPr>
              <w:spacing w:line="276" w:lineRule="auto"/>
              <w:jc w:val="both"/>
              <w:rPr>
                <w:rFonts w:ascii="Century Gothic" w:eastAsia="Times New Roman" w:hAnsi="Century Gothic" w:cs="Times New Roman"/>
                <w:bCs/>
                <w:iCs/>
                <w:color w:val="6E6E7C"/>
                <w:sz w:val="16"/>
                <w:szCs w:val="16"/>
                <w:lang w:eastAsia="es-EC"/>
              </w:rPr>
            </w:pPr>
          </w:p>
        </w:tc>
        <w:tc>
          <w:tcPr>
            <w:tcW w:w="1134" w:type="dxa"/>
            <w:shd w:val="clear" w:color="auto" w:fill="FFFFFF"/>
            <w:vAlign w:val="center"/>
          </w:tcPr>
          <w:p w14:paraId="04E83A3D" w14:textId="77777777" w:rsidR="00691263" w:rsidRDefault="00691263" w:rsidP="00691263">
            <w:pPr>
              <w:spacing w:line="276" w:lineRule="auto"/>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Twitter</w:t>
            </w:r>
          </w:p>
        </w:tc>
        <w:tc>
          <w:tcPr>
            <w:tcW w:w="2410" w:type="dxa"/>
            <w:shd w:val="clear" w:color="auto" w:fill="FFFFFF"/>
            <w:vAlign w:val="center"/>
          </w:tcPr>
          <w:p w14:paraId="5C0EF972" w14:textId="77777777" w:rsidR="00691263" w:rsidRDefault="00691263" w:rsidP="00691263">
            <w:pPr>
              <w:spacing w:line="276" w:lineRule="auto"/>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https://twitter.com/e</w:t>
            </w:r>
            <w:r w:rsidRPr="007F75DA">
              <w:rPr>
                <w:rFonts w:ascii="Century Gothic" w:eastAsia="Times New Roman" w:hAnsi="Century Gothic" w:cs="Times New Roman"/>
                <w:bCs/>
                <w:iCs/>
                <w:color w:val="6E6E7C"/>
                <w:sz w:val="16"/>
                <w:szCs w:val="16"/>
                <w:lang w:eastAsia="es-EC"/>
              </w:rPr>
              <w:t>cuadorencifras</w:t>
            </w:r>
          </w:p>
        </w:tc>
        <w:tc>
          <w:tcPr>
            <w:tcW w:w="1134" w:type="dxa"/>
            <w:vMerge/>
            <w:shd w:val="clear" w:color="auto" w:fill="FFFFFF"/>
            <w:vAlign w:val="center"/>
          </w:tcPr>
          <w:p w14:paraId="45846899" w14:textId="77777777" w:rsidR="00691263" w:rsidRPr="00582936" w:rsidRDefault="00691263" w:rsidP="00691263">
            <w:pPr>
              <w:spacing w:line="276" w:lineRule="auto"/>
              <w:jc w:val="center"/>
              <w:rPr>
                <w:rFonts w:ascii="Century Gothic" w:eastAsia="Times New Roman" w:hAnsi="Century Gothic" w:cs="Times New Roman"/>
                <w:bCs/>
                <w:iCs/>
                <w:color w:val="6E6E7C"/>
                <w:sz w:val="16"/>
                <w:szCs w:val="16"/>
                <w:lang w:eastAsia="es-EC"/>
              </w:rPr>
            </w:pPr>
          </w:p>
        </w:tc>
      </w:tr>
      <w:tr w:rsidR="00691263" w:rsidRPr="00582936" w14:paraId="73C9A35A" w14:textId="77777777" w:rsidTr="00691263">
        <w:trPr>
          <w:trHeight w:val="251"/>
        </w:trPr>
        <w:tc>
          <w:tcPr>
            <w:tcW w:w="1413" w:type="dxa"/>
            <w:vMerge/>
            <w:shd w:val="clear" w:color="auto" w:fill="FFFFFF"/>
            <w:vAlign w:val="center"/>
          </w:tcPr>
          <w:p w14:paraId="363E3E92" w14:textId="77777777" w:rsidR="00691263" w:rsidRDefault="00691263" w:rsidP="00691263">
            <w:pPr>
              <w:spacing w:line="276" w:lineRule="auto"/>
              <w:rPr>
                <w:rFonts w:ascii="Century Gothic" w:eastAsia="Times New Roman" w:hAnsi="Century Gothic" w:cs="Times New Roman"/>
                <w:bCs/>
                <w:iCs/>
                <w:color w:val="6E6E7C"/>
                <w:sz w:val="16"/>
                <w:szCs w:val="16"/>
                <w:lang w:eastAsia="es-EC"/>
              </w:rPr>
            </w:pPr>
          </w:p>
        </w:tc>
        <w:tc>
          <w:tcPr>
            <w:tcW w:w="2693" w:type="dxa"/>
            <w:vMerge/>
            <w:shd w:val="clear" w:color="auto" w:fill="FFFFFF"/>
            <w:vAlign w:val="center"/>
          </w:tcPr>
          <w:p w14:paraId="0CF324A2" w14:textId="77777777" w:rsidR="00691263" w:rsidRDefault="00691263" w:rsidP="00691263">
            <w:pPr>
              <w:spacing w:line="276" w:lineRule="auto"/>
              <w:jc w:val="both"/>
              <w:rPr>
                <w:rFonts w:ascii="Century Gothic" w:eastAsia="Times New Roman" w:hAnsi="Century Gothic" w:cs="Times New Roman"/>
                <w:bCs/>
                <w:iCs/>
                <w:color w:val="6E6E7C"/>
                <w:sz w:val="16"/>
                <w:szCs w:val="16"/>
                <w:lang w:eastAsia="es-EC"/>
              </w:rPr>
            </w:pPr>
          </w:p>
        </w:tc>
        <w:tc>
          <w:tcPr>
            <w:tcW w:w="1134" w:type="dxa"/>
            <w:shd w:val="clear" w:color="auto" w:fill="FFFFFF"/>
            <w:vAlign w:val="center"/>
          </w:tcPr>
          <w:p w14:paraId="66D11A2A" w14:textId="77777777" w:rsidR="00691263" w:rsidRDefault="00691263" w:rsidP="00691263">
            <w:pPr>
              <w:spacing w:line="276" w:lineRule="auto"/>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Instagram</w:t>
            </w:r>
          </w:p>
        </w:tc>
        <w:tc>
          <w:tcPr>
            <w:tcW w:w="2410" w:type="dxa"/>
            <w:shd w:val="clear" w:color="auto" w:fill="FFFFFF"/>
            <w:vAlign w:val="center"/>
          </w:tcPr>
          <w:p w14:paraId="7EE5A9C0" w14:textId="77777777" w:rsidR="00691263" w:rsidRDefault="00691263" w:rsidP="00691263">
            <w:pPr>
              <w:spacing w:line="276" w:lineRule="auto"/>
              <w:rPr>
                <w:rFonts w:ascii="Century Gothic" w:eastAsia="Times New Roman" w:hAnsi="Century Gothic" w:cs="Times New Roman"/>
                <w:bCs/>
                <w:iCs/>
                <w:color w:val="6E6E7C"/>
                <w:sz w:val="16"/>
                <w:szCs w:val="16"/>
                <w:lang w:eastAsia="es-EC"/>
              </w:rPr>
            </w:pPr>
            <w:r>
              <w:rPr>
                <w:rFonts w:ascii="Century Gothic" w:eastAsia="Times New Roman" w:hAnsi="Century Gothic" w:cs="Times New Roman"/>
                <w:bCs/>
                <w:iCs/>
                <w:color w:val="6E6E7C"/>
                <w:sz w:val="16"/>
                <w:szCs w:val="16"/>
                <w:lang w:eastAsia="es-EC"/>
              </w:rPr>
              <w:t>https://www.instagra</w:t>
            </w:r>
            <w:r w:rsidRPr="007F75DA">
              <w:rPr>
                <w:rFonts w:ascii="Century Gothic" w:eastAsia="Times New Roman" w:hAnsi="Century Gothic" w:cs="Times New Roman"/>
                <w:bCs/>
                <w:iCs/>
                <w:color w:val="6E6E7C"/>
                <w:sz w:val="16"/>
                <w:szCs w:val="16"/>
                <w:lang w:eastAsia="es-EC"/>
              </w:rPr>
              <w:t>m.com/ecuadorencif ras/</w:t>
            </w:r>
          </w:p>
        </w:tc>
        <w:tc>
          <w:tcPr>
            <w:tcW w:w="1134" w:type="dxa"/>
            <w:vMerge/>
            <w:shd w:val="clear" w:color="auto" w:fill="FFFFFF"/>
            <w:vAlign w:val="center"/>
          </w:tcPr>
          <w:p w14:paraId="4BAE2B8D" w14:textId="77777777" w:rsidR="00691263" w:rsidRPr="00582936" w:rsidRDefault="00691263" w:rsidP="00691263">
            <w:pPr>
              <w:spacing w:line="276" w:lineRule="auto"/>
              <w:jc w:val="center"/>
              <w:rPr>
                <w:rFonts w:ascii="Century Gothic" w:eastAsia="Times New Roman" w:hAnsi="Century Gothic" w:cs="Times New Roman"/>
                <w:bCs/>
                <w:iCs/>
                <w:color w:val="6E6E7C"/>
                <w:sz w:val="16"/>
                <w:szCs w:val="16"/>
                <w:lang w:eastAsia="es-EC"/>
              </w:rPr>
            </w:pPr>
          </w:p>
        </w:tc>
      </w:tr>
    </w:tbl>
    <w:p w14:paraId="60A10505" w14:textId="198C9973" w:rsidR="00CF3585" w:rsidRPr="00CF3585" w:rsidRDefault="00691263" w:rsidP="00CF3585">
      <w:pPr>
        <w:pStyle w:val="Descripcin"/>
        <w:keepNext/>
        <w:jc w:val="center"/>
        <w:rPr>
          <w:rFonts w:ascii="Century Gothic" w:eastAsia="Calibri" w:hAnsi="Century Gothic" w:cs="Times New Roman"/>
          <w:b w:val="0"/>
          <w:bCs w:val="0"/>
          <w:iCs/>
          <w:color w:val="6E6E7C"/>
          <w:lang w:val="es-ES" w:eastAsia="es-EC"/>
        </w:rPr>
      </w:pPr>
      <w:r w:rsidRPr="00CF3585">
        <w:rPr>
          <w:rFonts w:ascii="Century Gothic" w:eastAsia="Calibri" w:hAnsi="Century Gothic" w:cs="Times New Roman"/>
          <w:bCs w:val="0"/>
          <w:iCs/>
          <w:color w:val="6E6E7C"/>
          <w:lang w:val="es-ES" w:eastAsia="es-EC"/>
        </w:rPr>
        <w:t xml:space="preserve"> </w:t>
      </w:r>
      <w:r w:rsidR="00CF3585" w:rsidRPr="00CF3585">
        <w:rPr>
          <w:rFonts w:ascii="Century Gothic" w:eastAsia="Calibri" w:hAnsi="Century Gothic" w:cs="Times New Roman"/>
          <w:bCs w:val="0"/>
          <w:iCs/>
          <w:color w:val="6E6E7C"/>
          <w:lang w:val="es-ES" w:eastAsia="es-EC"/>
        </w:rPr>
        <w:t xml:space="preserve">Tabla </w:t>
      </w:r>
      <w:r w:rsidR="00CF3585" w:rsidRPr="00CF3585">
        <w:rPr>
          <w:rFonts w:ascii="Century Gothic" w:eastAsia="Calibri" w:hAnsi="Century Gothic" w:cs="Times New Roman"/>
          <w:bCs w:val="0"/>
          <w:iCs/>
          <w:color w:val="6E6E7C"/>
          <w:lang w:val="es-ES" w:eastAsia="es-EC"/>
        </w:rPr>
        <w:fldChar w:fldCharType="begin"/>
      </w:r>
      <w:r w:rsidR="00CF3585" w:rsidRPr="00CF3585">
        <w:rPr>
          <w:rFonts w:ascii="Century Gothic" w:eastAsia="Calibri" w:hAnsi="Century Gothic" w:cs="Times New Roman"/>
          <w:bCs w:val="0"/>
          <w:iCs/>
          <w:color w:val="6E6E7C"/>
          <w:lang w:val="es-ES" w:eastAsia="es-EC"/>
        </w:rPr>
        <w:instrText xml:space="preserve"> SEQ Tabla \* ARABIC </w:instrText>
      </w:r>
      <w:r w:rsidR="00CF3585" w:rsidRPr="00CF3585">
        <w:rPr>
          <w:rFonts w:ascii="Century Gothic" w:eastAsia="Calibri" w:hAnsi="Century Gothic" w:cs="Times New Roman"/>
          <w:bCs w:val="0"/>
          <w:iCs/>
          <w:color w:val="6E6E7C"/>
          <w:lang w:val="es-ES" w:eastAsia="es-EC"/>
        </w:rPr>
        <w:fldChar w:fldCharType="separate"/>
      </w:r>
      <w:r w:rsidR="00CF3585" w:rsidRPr="00CF3585">
        <w:rPr>
          <w:rFonts w:ascii="Century Gothic" w:eastAsia="Calibri" w:hAnsi="Century Gothic" w:cs="Times New Roman"/>
          <w:bCs w:val="0"/>
          <w:iCs/>
          <w:color w:val="6E6E7C"/>
          <w:lang w:val="es-ES" w:eastAsia="es-EC"/>
        </w:rPr>
        <w:t>15</w:t>
      </w:r>
      <w:r w:rsidR="00CF3585" w:rsidRPr="00CF3585">
        <w:rPr>
          <w:rFonts w:ascii="Century Gothic" w:eastAsia="Calibri" w:hAnsi="Century Gothic" w:cs="Times New Roman"/>
          <w:bCs w:val="0"/>
          <w:iCs/>
          <w:color w:val="6E6E7C"/>
          <w:lang w:val="es-ES" w:eastAsia="es-EC"/>
        </w:rPr>
        <w:fldChar w:fldCharType="end"/>
      </w:r>
      <w:r w:rsidR="00CF3585" w:rsidRPr="00CF3585">
        <w:rPr>
          <w:rFonts w:ascii="Century Gothic" w:eastAsia="Calibri" w:hAnsi="Century Gothic" w:cs="Times New Roman"/>
          <w:bCs w:val="0"/>
          <w:iCs/>
          <w:color w:val="6E6E7C"/>
          <w:lang w:val="es-ES" w:eastAsia="es-EC"/>
        </w:rPr>
        <w:t>.</w:t>
      </w:r>
      <w:r w:rsidR="00CF3585" w:rsidRPr="00CF3585">
        <w:rPr>
          <w:rFonts w:ascii="Century Gothic" w:eastAsia="Calibri" w:hAnsi="Century Gothic" w:cs="Times New Roman"/>
          <w:b w:val="0"/>
          <w:bCs w:val="0"/>
          <w:iCs/>
          <w:color w:val="6E6E7C"/>
          <w:lang w:val="es-ES" w:eastAsia="es-EC"/>
        </w:rPr>
        <w:t xml:space="preserve"> Productos de difusión</w:t>
      </w:r>
      <w:bookmarkEnd w:id="439"/>
    </w:p>
    <w:p w14:paraId="610EAAE4" w14:textId="77777777" w:rsidR="007F75DA" w:rsidRPr="00582936" w:rsidRDefault="007F75DA" w:rsidP="007F75DA">
      <w:pPr>
        <w:ind w:left="708"/>
        <w:rPr>
          <w:rFonts w:ascii="Century Gothic" w:eastAsia="Calibri" w:hAnsi="Century Gothic" w:cs="Times New Roman"/>
          <w:iCs/>
          <w:color w:val="6E6E7C"/>
          <w:sz w:val="16"/>
          <w:szCs w:val="16"/>
          <w:lang w:eastAsia="es-EC"/>
        </w:rPr>
      </w:pPr>
      <w:r w:rsidRPr="00582936">
        <w:rPr>
          <w:rFonts w:ascii="Century Gothic" w:eastAsia="Calibri" w:hAnsi="Century Gothic" w:cs="Times New Roman"/>
          <w:b/>
          <w:iCs/>
          <w:color w:val="6E6E7C"/>
          <w:sz w:val="16"/>
          <w:szCs w:val="16"/>
          <w:lang w:eastAsia="es-EC"/>
        </w:rPr>
        <w:t xml:space="preserve">Fuente: </w:t>
      </w:r>
      <w:r w:rsidRPr="00582936">
        <w:rPr>
          <w:rFonts w:ascii="Century Gothic" w:eastAsia="Calibri" w:hAnsi="Century Gothic" w:cs="Times New Roman"/>
          <w:bCs/>
          <w:iCs/>
          <w:color w:val="6E6E7C"/>
          <w:sz w:val="16"/>
          <w:szCs w:val="16"/>
        </w:rPr>
        <w:t>INEC, Encuesta Estructural Empresarial (ENESEM 2022).</w:t>
      </w:r>
    </w:p>
    <w:p w14:paraId="0ABEE7CA" w14:textId="77777777" w:rsidR="007F75DA" w:rsidRDefault="007F75DA" w:rsidP="007F75DA">
      <w:pPr>
        <w:spacing w:line="276" w:lineRule="auto"/>
        <w:ind w:left="708" w:right="4"/>
        <w:rPr>
          <w:rFonts w:ascii="Century Gothic" w:eastAsia="Calibri" w:hAnsi="Century Gothic" w:cs="Calibri"/>
          <w:iCs/>
          <w:color w:val="6E6E7C"/>
          <w:sz w:val="16"/>
          <w:szCs w:val="16"/>
        </w:rPr>
      </w:pPr>
      <w:r w:rsidRPr="00582936">
        <w:rPr>
          <w:rFonts w:ascii="Century Gothic" w:eastAsia="Calibri" w:hAnsi="Century Gothic" w:cs="Calibri"/>
          <w:b/>
          <w:iCs/>
          <w:color w:val="6E6E7C"/>
          <w:sz w:val="16"/>
          <w:szCs w:val="16"/>
        </w:rPr>
        <w:t>Elaboración:</w:t>
      </w:r>
      <w:r w:rsidRPr="00582936">
        <w:rPr>
          <w:rFonts w:ascii="Century Gothic" w:eastAsia="Calibri" w:hAnsi="Century Gothic" w:cs="Calibri"/>
          <w:iCs/>
          <w:color w:val="6E6E7C"/>
          <w:sz w:val="16"/>
          <w:szCs w:val="16"/>
        </w:rPr>
        <w:t xml:space="preserve"> Gestión de Estadísticas Estructurales (GESE).</w:t>
      </w:r>
    </w:p>
    <w:p w14:paraId="58CEE6A1" w14:textId="77777777" w:rsidR="00CF3585" w:rsidRPr="00582936" w:rsidRDefault="00CF3585" w:rsidP="007F75DA">
      <w:pPr>
        <w:spacing w:line="276" w:lineRule="auto"/>
        <w:ind w:left="708" w:right="4"/>
        <w:rPr>
          <w:rFonts w:ascii="Century Gothic" w:eastAsia="Calibri" w:hAnsi="Century Gothic" w:cs="Calibri"/>
          <w:iCs/>
          <w:color w:val="6E6E7C"/>
          <w:sz w:val="16"/>
          <w:szCs w:val="16"/>
        </w:rPr>
      </w:pPr>
    </w:p>
    <w:p w14:paraId="14729BD0" w14:textId="77777777" w:rsidR="00BC517C" w:rsidRPr="00D27640" w:rsidRDefault="00BC517C" w:rsidP="0094052A">
      <w:pPr>
        <w:pStyle w:val="Ttulo2"/>
        <w:numPr>
          <w:ilvl w:val="1"/>
          <w:numId w:val="1"/>
        </w:numPr>
        <w:spacing w:before="0" w:line="276" w:lineRule="auto"/>
        <w:jc w:val="both"/>
        <w:rPr>
          <w:bCs/>
          <w:color w:val="6E6E7C"/>
        </w:rPr>
      </w:pPr>
      <w:bookmarkStart w:id="440" w:name="_Toc126658020"/>
      <w:bookmarkStart w:id="441" w:name="_Toc148617368"/>
      <w:bookmarkStart w:id="442" w:name="_Toc161322587"/>
      <w:r w:rsidRPr="00D27640">
        <w:rPr>
          <w:rFonts w:eastAsiaTheme="minorHAnsi" w:cstheme="minorBidi"/>
          <w:bCs/>
          <w:color w:val="6E6E7C"/>
          <w:sz w:val="28"/>
          <w:szCs w:val="44"/>
        </w:rPr>
        <w:t>Soporte al usuario</w:t>
      </w:r>
      <w:bookmarkEnd w:id="440"/>
      <w:bookmarkEnd w:id="441"/>
      <w:bookmarkEnd w:id="442"/>
    </w:p>
    <w:p w14:paraId="0BD02E91" w14:textId="77777777" w:rsidR="00A62546" w:rsidRPr="00582936" w:rsidRDefault="00A62546" w:rsidP="00A62546">
      <w:pPr>
        <w:jc w:val="both"/>
        <w:rPr>
          <w:rFonts w:ascii="Century Gothic" w:eastAsia="Calibri" w:hAnsi="Century Gothic" w:cs="Times New Roman"/>
          <w:iCs/>
          <w:color w:val="6E6E7C"/>
          <w:sz w:val="21"/>
          <w:szCs w:val="21"/>
        </w:rPr>
      </w:pPr>
      <w:bookmarkStart w:id="443" w:name="_Toc381774294"/>
      <w:bookmarkStart w:id="444" w:name="_Toc382901710"/>
      <w:bookmarkStart w:id="445" w:name="_Toc412998157"/>
      <w:bookmarkStart w:id="446" w:name="_Toc126658021"/>
      <w:r w:rsidRPr="00582936">
        <w:rPr>
          <w:rFonts w:ascii="Century Gothic" w:eastAsia="Calibri" w:hAnsi="Century Gothic" w:cs="Times New Roman"/>
          <w:iCs/>
          <w:color w:val="6E6E7C"/>
          <w:sz w:val="21"/>
          <w:szCs w:val="21"/>
          <w:lang w:val="es-ES"/>
        </w:rPr>
        <w:t xml:space="preserve">Con el fin de proporcionar un servicio eficiente a los usuarios, </w:t>
      </w:r>
      <w:r w:rsidRPr="00582936">
        <w:rPr>
          <w:rFonts w:ascii="Century Gothic" w:eastAsia="Calibri" w:hAnsi="Century Gothic" w:cs="Times New Roman"/>
          <w:iCs/>
          <w:color w:val="6E6E7C"/>
          <w:sz w:val="21"/>
          <w:szCs w:val="21"/>
        </w:rPr>
        <w:t xml:space="preserve">la atención de requerimientos de información se efectúa por varios medios </w:t>
      </w:r>
      <w:r w:rsidRPr="00582936">
        <w:rPr>
          <w:rFonts w:ascii="Century Gothic" w:eastAsia="Calibri" w:hAnsi="Century Gothic" w:cs="Times New Roman"/>
          <w:iCs/>
          <w:color w:val="6E6E7C"/>
          <w:sz w:val="21"/>
          <w:szCs w:val="21"/>
          <w:lang w:val="es-ES"/>
        </w:rPr>
        <w:t>de</w:t>
      </w:r>
      <w:r w:rsidRPr="00582936">
        <w:rPr>
          <w:rFonts w:ascii="Century Gothic" w:eastAsia="Calibri" w:hAnsi="Century Gothic" w:cs="Times New Roman"/>
          <w:iCs/>
          <w:color w:val="6E6E7C"/>
          <w:sz w:val="21"/>
          <w:szCs w:val="21"/>
        </w:rPr>
        <w:t xml:space="preserve"> comunicación, como: </w:t>
      </w:r>
      <w:r w:rsidR="005363FF">
        <w:rPr>
          <w:rFonts w:ascii="Century Gothic" w:eastAsia="Calibri" w:hAnsi="Century Gothic" w:cs="Times New Roman"/>
          <w:iCs/>
          <w:color w:val="6E6E7C"/>
          <w:sz w:val="21"/>
          <w:szCs w:val="21"/>
        </w:rPr>
        <w:t xml:space="preserve">el portal web del Instituto Nacional de Estadística y Censos </w:t>
      </w:r>
      <w:r w:rsidRPr="00582936">
        <w:rPr>
          <w:rFonts w:ascii="Century Gothic" w:eastAsia="Calibri" w:hAnsi="Century Gothic" w:cs="Times New Roman"/>
          <w:iCs/>
          <w:color w:val="6E6E7C"/>
          <w:sz w:val="21"/>
          <w:szCs w:val="21"/>
        </w:rPr>
        <w:t xml:space="preserve">a través del link: </w:t>
      </w:r>
      <w:hyperlink r:id="rId20" w:history="1">
        <w:r w:rsidRPr="00582936">
          <w:rPr>
            <w:rFonts w:ascii="Century Gothic" w:eastAsia="Calibri" w:hAnsi="Century Gothic" w:cs="Times New Roman"/>
            <w:iCs/>
            <w:color w:val="6E6E7C"/>
            <w:sz w:val="21"/>
            <w:szCs w:val="21"/>
            <w:u w:val="single"/>
          </w:rPr>
          <w:t>http://www.ecuadorencifras.gob.ec/requerimientos-de-informacion/</w:t>
        </w:r>
      </w:hyperlink>
      <w:r w:rsidRPr="00582936">
        <w:rPr>
          <w:rFonts w:ascii="Century Gothic" w:eastAsia="Calibri" w:hAnsi="Century Gothic" w:cs="Times New Roman"/>
          <w:iCs/>
          <w:color w:val="6E6E7C"/>
          <w:sz w:val="21"/>
          <w:szCs w:val="21"/>
        </w:rPr>
        <w:t xml:space="preserve">, mediante correo electrónico </w:t>
      </w:r>
      <w:hyperlink r:id="rId21" w:history="1">
        <w:r w:rsidRPr="00582936">
          <w:rPr>
            <w:rFonts w:ascii="Century Gothic" w:eastAsia="Calibri" w:hAnsi="Century Gothic" w:cs="Times New Roman"/>
            <w:iCs/>
            <w:color w:val="6E6E7C"/>
            <w:sz w:val="21"/>
            <w:szCs w:val="21"/>
            <w:u w:val="single"/>
          </w:rPr>
          <w:t>inec@inec.gob.ec</w:t>
        </w:r>
      </w:hyperlink>
      <w:r w:rsidRPr="00582936">
        <w:rPr>
          <w:rFonts w:ascii="Century Gothic" w:eastAsia="Calibri" w:hAnsi="Century Gothic" w:cs="Times New Roman"/>
          <w:iCs/>
          <w:color w:val="6E6E7C"/>
          <w:sz w:val="21"/>
          <w:szCs w:val="21"/>
        </w:rPr>
        <w:t xml:space="preserve">; por </w:t>
      </w:r>
      <w:r w:rsidRPr="00582936">
        <w:rPr>
          <w:rFonts w:ascii="Century Gothic" w:eastAsia="Calibri" w:hAnsi="Century Gothic" w:cs="Times New Roman"/>
          <w:iCs/>
          <w:color w:val="6E6E7C"/>
          <w:sz w:val="21"/>
          <w:szCs w:val="21"/>
          <w:lang w:val="es-ES"/>
        </w:rPr>
        <w:t>medio</w:t>
      </w:r>
      <w:r w:rsidRPr="00582936">
        <w:rPr>
          <w:rFonts w:ascii="Century Gothic" w:eastAsia="Calibri" w:hAnsi="Century Gothic" w:cs="Times New Roman"/>
          <w:iCs/>
          <w:color w:val="6E6E7C"/>
          <w:sz w:val="21"/>
          <w:szCs w:val="21"/>
        </w:rPr>
        <w:t xml:space="preserve"> de oficios desde otras instituciones, pedidos especiales que solicitan los medios de comunicación, entre otros. </w:t>
      </w:r>
    </w:p>
    <w:p w14:paraId="4C972666" w14:textId="77777777" w:rsidR="00A62546" w:rsidRPr="00582936" w:rsidRDefault="00A62546" w:rsidP="00A62546">
      <w:pPr>
        <w:spacing w:line="276" w:lineRule="auto"/>
        <w:jc w:val="both"/>
        <w:rPr>
          <w:rFonts w:ascii="Century Gothic" w:eastAsia="Calibri" w:hAnsi="Century Gothic" w:cs="Times New Roman"/>
          <w:iCs/>
          <w:color w:val="6E6E7C"/>
          <w:sz w:val="21"/>
          <w:szCs w:val="21"/>
        </w:rPr>
      </w:pPr>
    </w:p>
    <w:p w14:paraId="5DA8F9F5" w14:textId="77777777" w:rsidR="007F75DA" w:rsidRDefault="00A62546" w:rsidP="00924439">
      <w:pPr>
        <w:spacing w:after="200" w:line="276" w:lineRule="auto"/>
        <w:jc w:val="both"/>
        <w:rPr>
          <w:rFonts w:ascii="Century Gothic" w:eastAsia="Calibri" w:hAnsi="Century Gothic" w:cs="Times New Roman"/>
          <w:iCs/>
          <w:color w:val="6E6E7C"/>
          <w:sz w:val="21"/>
          <w:szCs w:val="21"/>
        </w:rPr>
      </w:pPr>
      <w:r w:rsidRPr="00582936">
        <w:rPr>
          <w:rFonts w:ascii="Century Gothic" w:eastAsia="Calibri" w:hAnsi="Century Gothic" w:cs="Times New Roman"/>
          <w:iCs/>
          <w:color w:val="6E6E7C"/>
          <w:sz w:val="21"/>
          <w:szCs w:val="21"/>
        </w:rPr>
        <w:t>Además, p</w:t>
      </w:r>
      <w:r w:rsidRPr="00582936">
        <w:rPr>
          <w:rFonts w:ascii="Century Gothic" w:eastAsia="Calibri" w:hAnsi="Century Gothic" w:cs="Times New Roman"/>
          <w:iCs/>
          <w:color w:val="6E6E7C"/>
          <w:sz w:val="21"/>
          <w:szCs w:val="21"/>
          <w:lang w:val="es-ES"/>
        </w:rPr>
        <w:t>ara</w:t>
      </w:r>
      <w:r w:rsidRPr="00582936">
        <w:rPr>
          <w:rFonts w:ascii="Century Gothic" w:eastAsia="Calibri" w:hAnsi="Century Gothic" w:cs="Times New Roman"/>
          <w:iCs/>
          <w:color w:val="6E6E7C"/>
          <w:sz w:val="21"/>
          <w:szCs w:val="21"/>
        </w:rPr>
        <w:t xml:space="preserve"> </w:t>
      </w:r>
      <w:r w:rsidRPr="00582936">
        <w:rPr>
          <w:rFonts w:ascii="Century Gothic" w:eastAsia="Calibri" w:hAnsi="Century Gothic" w:cs="Times New Roman"/>
          <w:iCs/>
          <w:color w:val="6E6E7C"/>
          <w:sz w:val="21"/>
          <w:szCs w:val="21"/>
          <w:lang w:val="es-ES"/>
        </w:rPr>
        <w:t>mantener una comunicación directa con los usuarios ha sido fundamental la implementación de las mesas técnicas, en las cuales participan instituciones públicas y privadas; este proceso,</w:t>
      </w:r>
      <w:r w:rsidRPr="00582936">
        <w:rPr>
          <w:rFonts w:ascii="Century Gothic" w:eastAsia="Calibri" w:hAnsi="Century Gothic" w:cs="Times New Roman"/>
          <w:iCs/>
          <w:color w:val="6E6E7C"/>
          <w:sz w:val="21"/>
          <w:szCs w:val="21"/>
        </w:rPr>
        <w:t xml:space="preserve"> se ejecuta siguiendo las políticas establecidas por la institución y guardando la confidencialidad de la información.</w:t>
      </w:r>
    </w:p>
    <w:p w14:paraId="368A2337" w14:textId="77777777" w:rsidR="005363FF" w:rsidRDefault="005363FF" w:rsidP="00924439">
      <w:pPr>
        <w:spacing w:after="200" w:line="276" w:lineRule="auto"/>
        <w:jc w:val="both"/>
        <w:rPr>
          <w:rFonts w:ascii="Century Gothic" w:eastAsia="Calibri" w:hAnsi="Century Gothic" w:cs="Times New Roman"/>
          <w:iCs/>
          <w:color w:val="6E6E7C"/>
          <w:sz w:val="21"/>
          <w:szCs w:val="21"/>
        </w:rPr>
      </w:pPr>
      <w:r>
        <w:rPr>
          <w:rFonts w:ascii="Century Gothic" w:eastAsia="Calibri" w:hAnsi="Century Gothic" w:cs="Times New Roman"/>
          <w:iCs/>
          <w:color w:val="6E6E7C"/>
          <w:sz w:val="21"/>
          <w:szCs w:val="21"/>
        </w:rPr>
        <w:br w:type="page"/>
      </w:r>
    </w:p>
    <w:p w14:paraId="6C75CE71" w14:textId="77777777" w:rsidR="00BC517C" w:rsidRPr="00582936" w:rsidRDefault="00CA0539" w:rsidP="00050627">
      <w:pPr>
        <w:pStyle w:val="Estilo1"/>
        <w:rPr>
          <w:color w:val="6E6E7C"/>
          <w:sz w:val="40"/>
          <w:szCs w:val="40"/>
        </w:rPr>
      </w:pPr>
      <w:bookmarkStart w:id="447" w:name="_Toc148617369"/>
      <w:bookmarkStart w:id="448" w:name="_Toc161322588"/>
      <w:r w:rsidRPr="00582936">
        <w:rPr>
          <w:color w:val="6E6E7C"/>
          <w:sz w:val="40"/>
          <w:szCs w:val="40"/>
        </w:rPr>
        <w:lastRenderedPageBreak/>
        <w:t>Glosario</w:t>
      </w:r>
      <w:bookmarkEnd w:id="443"/>
      <w:bookmarkEnd w:id="444"/>
      <w:r w:rsidRPr="00582936">
        <w:rPr>
          <w:color w:val="6E6E7C"/>
          <w:sz w:val="40"/>
          <w:szCs w:val="40"/>
        </w:rPr>
        <w:t xml:space="preserve"> de términos</w:t>
      </w:r>
      <w:bookmarkEnd w:id="445"/>
      <w:bookmarkEnd w:id="446"/>
      <w:bookmarkEnd w:id="447"/>
      <w:bookmarkEnd w:id="448"/>
    </w:p>
    <w:p w14:paraId="7E7DC09B" w14:textId="77777777" w:rsidR="00BB4C61" w:rsidRPr="00582936" w:rsidRDefault="00BB4C61" w:rsidP="00BB4C61">
      <w:pPr>
        <w:spacing w:after="160" w:line="259"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Actividad Económica Auxiliar</w:t>
      </w:r>
    </w:p>
    <w:p w14:paraId="3952E861" w14:textId="77777777" w:rsidR="00BB4C61" w:rsidRPr="00582936" w:rsidRDefault="00BB4C61" w:rsidP="00BB4C61">
      <w:pPr>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Una actividad auxiliar es una actividad de apoyo que tiene lugar dentro de la empresa y cuya finalidad es crear las condiciones que permitan realizar las actividades principales o secundarias </w:t>
      </w:r>
      <w:sdt>
        <w:sdtPr>
          <w:rPr>
            <w:rFonts w:ascii="Century Gothic" w:eastAsia="Calibri" w:hAnsi="Century Gothic" w:cs="Times New Roman"/>
            <w:iCs/>
            <w:color w:val="6E6E7C"/>
            <w:sz w:val="21"/>
            <w:szCs w:val="21"/>
          </w:rPr>
          <w:id w:val="-2095618677"/>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w:t>
      </w:r>
    </w:p>
    <w:p w14:paraId="3CA9A4A2" w14:textId="77777777" w:rsidR="00BB4C61" w:rsidRPr="00582936" w:rsidRDefault="00BB4C61" w:rsidP="00BB4C61">
      <w:pPr>
        <w:spacing w:after="160" w:line="259"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Actividad Económica (Tipos)</w:t>
      </w:r>
    </w:p>
    <w:p w14:paraId="531DBB0F" w14:textId="77777777" w:rsidR="00BB4C61" w:rsidRPr="00582936" w:rsidRDefault="00BB4C61" w:rsidP="00E5524A">
      <w:pPr>
        <w:numPr>
          <w:ilvl w:val="0"/>
          <w:numId w:val="36"/>
        </w:numPr>
        <w:spacing w:after="160" w:line="259" w:lineRule="auto"/>
        <w:jc w:val="both"/>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Actividad Económica Principal</w:t>
      </w:r>
    </w:p>
    <w:p w14:paraId="369E10FB" w14:textId="77777777" w:rsidR="00BB4C61" w:rsidRPr="00582936" w:rsidRDefault="00BB4C61" w:rsidP="00BB4C61">
      <w:pPr>
        <w:spacing w:after="200" w:line="276" w:lineRule="auto"/>
        <w:ind w:left="720"/>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La actividad principal de una unidad de producción es aquélla cuyo valor agregado supera al de cualquier otra actividad realizada dentro de la misma unidad. </w:t>
      </w:r>
      <w:sdt>
        <w:sdtPr>
          <w:rPr>
            <w:rFonts w:ascii="Century Gothic" w:eastAsia="Calibri" w:hAnsi="Century Gothic" w:cs="Times New Roman"/>
            <w:iCs/>
            <w:color w:val="6E6E7C"/>
            <w:sz w:val="21"/>
            <w:szCs w:val="21"/>
          </w:rPr>
          <w:id w:val="1708681152"/>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w:t>
      </w:r>
    </w:p>
    <w:p w14:paraId="68FE418D" w14:textId="77777777" w:rsidR="00BB4C61" w:rsidRPr="00582936" w:rsidRDefault="00BB4C61" w:rsidP="00E5524A">
      <w:pPr>
        <w:numPr>
          <w:ilvl w:val="0"/>
          <w:numId w:val="36"/>
        </w:numPr>
        <w:spacing w:after="160" w:line="259" w:lineRule="auto"/>
        <w:jc w:val="both"/>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Actividad Económica Secundaria</w:t>
      </w:r>
    </w:p>
    <w:p w14:paraId="7D25AC4A" w14:textId="77777777" w:rsidR="00BB4C61" w:rsidRPr="00582936" w:rsidRDefault="00BB4C61" w:rsidP="00BB4C61">
      <w:pPr>
        <w:spacing w:after="200" w:line="276" w:lineRule="auto"/>
        <w:ind w:left="720"/>
        <w:contextualSpacing/>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Una actividad secundaria es la que se desarrolla dentro de una misma unidad de producción además de la actividad principal, y cuya producción, al igual que la de la actividad principal, tiene que ser apta para ser suministrada fuera de la unidad de producción. </w:t>
      </w:r>
      <w:sdt>
        <w:sdtPr>
          <w:rPr>
            <w:rFonts w:ascii="Century Gothic" w:eastAsia="Calibri" w:hAnsi="Century Gothic" w:cs="Times New Roman"/>
            <w:iCs/>
            <w:color w:val="6E6E7C"/>
            <w:sz w:val="21"/>
            <w:szCs w:val="21"/>
          </w:rPr>
          <w:id w:val="808286783"/>
          <w:citation/>
        </w:sdtPr>
        <w:sdtContent>
          <w:r w:rsidRPr="00582936">
            <w:rPr>
              <w:rFonts w:ascii="Century Gothic" w:eastAsia="Calibri" w:hAnsi="Century Gothic" w:cs="Times New Roman"/>
              <w:iCs/>
              <w:color w:val="6E6E7C"/>
              <w:sz w:val="21"/>
              <w:szCs w:val="21"/>
            </w:rPr>
            <w:fldChar w:fldCharType="begin"/>
          </w:r>
          <w:r w:rsidRPr="00582936">
            <w:rPr>
              <w:rFonts w:ascii="Century Gothic" w:eastAsia="Calibri" w:hAnsi="Century Gothic" w:cs="Times New Roman"/>
              <w:iCs/>
              <w:color w:val="6E6E7C"/>
              <w:sz w:val="21"/>
              <w:szCs w:val="21"/>
            </w:rPr>
            <w:instrText xml:space="preserve">CITATION MarcadorDePosición23 \l 12298 </w:instrText>
          </w:r>
          <w:r w:rsidRPr="00582936">
            <w:rPr>
              <w:rFonts w:ascii="Century Gothic" w:eastAsia="Calibri" w:hAnsi="Century Gothic" w:cs="Times New Roman"/>
              <w:iCs/>
              <w:color w:val="6E6E7C"/>
              <w:sz w:val="21"/>
              <w:szCs w:val="21"/>
            </w:rPr>
            <w:fldChar w:fldCharType="separate"/>
          </w:r>
          <w:r w:rsidR="006E6B3C" w:rsidRPr="006E6B3C">
            <w:rPr>
              <w:rFonts w:ascii="Century Gothic" w:eastAsia="Calibri" w:hAnsi="Century Gothic" w:cs="Times New Roman"/>
              <w:noProof/>
              <w:color w:val="6E6E7C"/>
              <w:sz w:val="21"/>
              <w:szCs w:val="21"/>
            </w:rPr>
            <w:t>(ONU, 2008 b)</w:t>
          </w:r>
          <w:r w:rsidRPr="00582936">
            <w:rPr>
              <w:rFonts w:ascii="Century Gothic" w:eastAsia="Calibri" w:hAnsi="Century Gothic" w:cs="Times New Roman"/>
              <w:iCs/>
              <w:color w:val="6E6E7C"/>
              <w:sz w:val="21"/>
              <w:szCs w:val="21"/>
            </w:rPr>
            <w:fldChar w:fldCharType="end"/>
          </w:r>
        </w:sdtContent>
      </w:sdt>
      <w:r w:rsidRPr="00582936">
        <w:rPr>
          <w:rFonts w:ascii="Century Gothic" w:eastAsia="Calibri" w:hAnsi="Century Gothic" w:cs="Times New Roman"/>
          <w:iCs/>
          <w:color w:val="6E6E7C"/>
          <w:sz w:val="21"/>
          <w:szCs w:val="21"/>
        </w:rPr>
        <w:t>.</w:t>
      </w:r>
    </w:p>
    <w:p w14:paraId="294F8C91" w14:textId="77777777" w:rsidR="00BB4C61" w:rsidRPr="00582936" w:rsidRDefault="00BB4C61" w:rsidP="00E5524A">
      <w:pPr>
        <w:numPr>
          <w:ilvl w:val="0"/>
          <w:numId w:val="36"/>
        </w:numPr>
        <w:spacing w:after="160" w:line="259" w:lineRule="auto"/>
        <w:jc w:val="both"/>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Actividad Económica Tercera</w:t>
      </w:r>
    </w:p>
    <w:p w14:paraId="6BD06FEA" w14:textId="77777777" w:rsidR="00BB4C61" w:rsidRPr="00582936" w:rsidRDefault="00BB4C61" w:rsidP="00BB4C61">
      <w:pPr>
        <w:spacing w:after="160" w:line="259" w:lineRule="auto"/>
        <w:ind w:left="708"/>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Una tercera actividad es la que se desarrolla dentro de una misma unidad de producción además de la actividad principal y secundaria, y cuya producción tiene que ser apta para ser suministrada fuera de la unidad de producción</w:t>
      </w:r>
      <w:sdt>
        <w:sdtPr>
          <w:rPr>
            <w:rFonts w:ascii="Century Gothic" w:eastAsia="Calibri" w:hAnsi="Century Gothic" w:cs="Times New Roman"/>
            <w:bCs/>
            <w:iCs/>
            <w:color w:val="6E6E7C"/>
            <w:sz w:val="21"/>
            <w:szCs w:val="21"/>
          </w:rPr>
          <w:id w:val="1043793201"/>
          <w:citation/>
        </w:sdtPr>
        <w:sdtContent>
          <w:r w:rsidRPr="00582936">
            <w:rPr>
              <w:rFonts w:ascii="Century Gothic" w:eastAsia="Calibri" w:hAnsi="Century Gothic" w:cs="Times New Roman"/>
              <w:bCs/>
              <w:iCs/>
              <w:color w:val="6E6E7C"/>
              <w:sz w:val="21"/>
              <w:szCs w:val="21"/>
            </w:rPr>
            <w:fldChar w:fldCharType="begin"/>
          </w:r>
          <w:r w:rsidRPr="00582936">
            <w:rPr>
              <w:rFonts w:ascii="Century Gothic" w:eastAsia="Calibri" w:hAnsi="Century Gothic" w:cs="Times New Roman"/>
              <w:bCs/>
              <w:iCs/>
              <w:color w:val="6E6E7C"/>
              <w:sz w:val="21"/>
              <w:szCs w:val="21"/>
            </w:rPr>
            <w:instrText xml:space="preserve">CITATION Ins18 \l 12298 </w:instrText>
          </w:r>
          <w:r w:rsidRPr="00582936">
            <w:rPr>
              <w:rFonts w:ascii="Century Gothic" w:eastAsia="Calibri" w:hAnsi="Century Gothic" w:cs="Times New Roman"/>
              <w:bCs/>
              <w:iCs/>
              <w:color w:val="6E6E7C"/>
              <w:sz w:val="21"/>
              <w:szCs w:val="21"/>
            </w:rPr>
            <w:fldChar w:fldCharType="separate"/>
          </w:r>
          <w:r w:rsidR="006E6B3C">
            <w:rPr>
              <w:rFonts w:ascii="Century Gothic" w:eastAsia="Calibri" w:hAnsi="Century Gothic" w:cs="Times New Roman"/>
              <w:bCs/>
              <w:iCs/>
              <w:noProof/>
              <w:color w:val="6E6E7C"/>
              <w:sz w:val="21"/>
              <w:szCs w:val="21"/>
            </w:rPr>
            <w:t xml:space="preserve"> </w:t>
          </w:r>
          <w:r w:rsidR="006E6B3C" w:rsidRPr="006E6B3C">
            <w:rPr>
              <w:rFonts w:ascii="Century Gothic" w:eastAsia="Calibri" w:hAnsi="Century Gothic" w:cs="Times New Roman"/>
              <w:noProof/>
              <w:color w:val="6E6E7C"/>
              <w:sz w:val="21"/>
              <w:szCs w:val="21"/>
            </w:rPr>
            <w:t>(INEC, 2018)</w:t>
          </w:r>
          <w:r w:rsidRPr="00582936">
            <w:rPr>
              <w:rFonts w:ascii="Century Gothic" w:eastAsia="Calibri" w:hAnsi="Century Gothic" w:cs="Times New Roman"/>
              <w:bCs/>
              <w:iCs/>
              <w:color w:val="6E6E7C"/>
              <w:sz w:val="21"/>
              <w:szCs w:val="21"/>
            </w:rPr>
            <w:fldChar w:fldCharType="end"/>
          </w:r>
        </w:sdtContent>
      </w:sdt>
      <w:r w:rsidRPr="00582936">
        <w:rPr>
          <w:rFonts w:ascii="Century Gothic" w:eastAsia="Calibri" w:hAnsi="Century Gothic" w:cs="Times New Roman"/>
          <w:bCs/>
          <w:iCs/>
          <w:color w:val="6E6E7C"/>
          <w:sz w:val="21"/>
          <w:szCs w:val="21"/>
        </w:rPr>
        <w:t>.</w:t>
      </w:r>
    </w:p>
    <w:p w14:paraId="36624AA9" w14:textId="77777777" w:rsidR="00BB4C61" w:rsidRPr="00582936" w:rsidRDefault="00BB4C61" w:rsidP="00BB4C61">
      <w:pPr>
        <w:spacing w:after="160" w:line="259" w:lineRule="auto"/>
        <w:rPr>
          <w:rFonts w:ascii="Century Gothic" w:eastAsia="Calibri" w:hAnsi="Century Gothic" w:cs="Times New Roman"/>
          <w:b/>
          <w:bCs/>
          <w:iCs/>
          <w:color w:val="6E6E7C"/>
          <w:sz w:val="21"/>
          <w:szCs w:val="21"/>
        </w:rPr>
      </w:pPr>
      <w:bookmarkStart w:id="449" w:name="_Toc510521223"/>
      <w:r w:rsidRPr="00582936">
        <w:rPr>
          <w:rFonts w:ascii="Century Gothic" w:eastAsia="Calibri" w:hAnsi="Century Gothic" w:cs="Times New Roman"/>
          <w:b/>
          <w:bCs/>
          <w:iCs/>
          <w:color w:val="6E6E7C"/>
          <w:sz w:val="21"/>
          <w:szCs w:val="21"/>
        </w:rPr>
        <w:t>Definiciones relacionadas a la gestión ambiental</w:t>
      </w:r>
    </w:p>
    <w:p w14:paraId="73D70989" w14:textId="77777777" w:rsidR="00BB4C61" w:rsidRPr="00582936" w:rsidRDefault="00BB4C61" w:rsidP="00BB4C61">
      <w:pPr>
        <w:spacing w:after="160" w:line="259" w:lineRule="auto"/>
        <w:jc w:val="both"/>
        <w:rPr>
          <w:rFonts w:ascii="Century Gothic" w:eastAsia="Calibri" w:hAnsi="Century Gothic" w:cs="Times New Roman"/>
          <w:bCs/>
          <w:iCs/>
          <w:color w:val="6E6E7C"/>
          <w:sz w:val="21"/>
          <w:szCs w:val="21"/>
        </w:rPr>
      </w:pPr>
      <w:r w:rsidRPr="00582936">
        <w:rPr>
          <w:rFonts w:ascii="Century Gothic" w:eastAsia="Calibri" w:hAnsi="Century Gothic" w:cs="Times New Roman"/>
          <w:bCs/>
          <w:iCs/>
          <w:color w:val="6E6E7C"/>
          <w:sz w:val="21"/>
          <w:szCs w:val="21"/>
        </w:rPr>
        <w:t>Definiciones relacionados con el ámbito ambiental tales como: permisos ambientales; gastos, inversiones, producción de bienes y servicios ambientales; uso de agua y energía; y manejo de residuos y aguas residuales de las empresas pertenecientes a los sectores económicos de Manufactura, Minería, Construcción, Comercio y Servicios; conceptos que se describen a mayor detalle en la publicación del “Módulo de Información Ambiental Económica en Empresas 2016” puesto que la información ambiental se recoge en un módulo de la Encuesta Estructural Empresarial.</w:t>
      </w:r>
    </w:p>
    <w:p w14:paraId="1B95CC4D" w14:textId="77777777" w:rsidR="00BB4C61" w:rsidRDefault="00BB4C61" w:rsidP="00BB4C61">
      <w:pPr>
        <w:spacing w:after="160" w:line="259" w:lineRule="auto"/>
        <w:rPr>
          <w:rFonts w:ascii="Century Gothic" w:eastAsia="Calibri" w:hAnsi="Century Gothic" w:cs="Times New Roman"/>
          <w:b/>
          <w:bCs/>
          <w:iCs/>
          <w:color w:val="6E6E7C"/>
          <w:sz w:val="21"/>
          <w:szCs w:val="21"/>
        </w:rPr>
      </w:pPr>
      <w:r w:rsidRPr="00582936">
        <w:rPr>
          <w:rFonts w:ascii="Century Gothic" w:eastAsia="Calibri" w:hAnsi="Century Gothic" w:cs="Times New Roman"/>
          <w:b/>
          <w:bCs/>
          <w:iCs/>
          <w:color w:val="6E6E7C"/>
          <w:sz w:val="21"/>
          <w:szCs w:val="21"/>
        </w:rPr>
        <w:t>Envases y Embalajes</w:t>
      </w:r>
      <w:bookmarkEnd w:id="449"/>
    </w:p>
    <w:p w14:paraId="17B97DC0" w14:textId="175A503D" w:rsidR="001F202E" w:rsidRPr="001F202E" w:rsidRDefault="001F202E" w:rsidP="00BB4C61">
      <w:pPr>
        <w:spacing w:after="160" w:line="259" w:lineRule="auto"/>
        <w:rPr>
          <w:rFonts w:ascii="Century Gothic" w:eastAsia="Calibri" w:hAnsi="Century Gothic" w:cs="Times New Roman"/>
          <w:bCs/>
          <w:iCs/>
          <w:color w:val="6E6E7C"/>
          <w:sz w:val="21"/>
          <w:szCs w:val="21"/>
        </w:rPr>
      </w:pPr>
      <w:r w:rsidRPr="001F202E">
        <w:rPr>
          <w:rFonts w:ascii="Century Gothic" w:eastAsia="Calibri" w:hAnsi="Century Gothic" w:cs="Times New Roman"/>
          <w:bCs/>
          <w:iCs/>
          <w:color w:val="6E6E7C"/>
          <w:sz w:val="21"/>
          <w:szCs w:val="21"/>
        </w:rPr>
        <w:t>“Son los valores pagados por el consumo y utilización de envases y embalajes, utilizados en la comercialización de productos”</w:t>
      </w:r>
      <w:r>
        <w:rPr>
          <w:rFonts w:ascii="Century Gothic" w:eastAsia="Calibri" w:hAnsi="Century Gothic" w:cs="Times New Roman"/>
          <w:bCs/>
          <w:iCs/>
          <w:color w:val="6E6E7C"/>
          <w:sz w:val="21"/>
          <w:szCs w:val="21"/>
        </w:rPr>
        <w:t xml:space="preserve">. </w:t>
      </w:r>
      <w:sdt>
        <w:sdtPr>
          <w:rPr>
            <w:rFonts w:ascii="Century Gothic" w:eastAsia="Calibri" w:hAnsi="Century Gothic" w:cs="Times New Roman"/>
            <w:bCs/>
            <w:iCs/>
            <w:color w:val="6E6E7C"/>
            <w:sz w:val="21"/>
            <w:szCs w:val="21"/>
          </w:rPr>
          <w:id w:val="936632689"/>
          <w:citation/>
        </w:sdtPr>
        <w:sdtContent>
          <w:r>
            <w:rPr>
              <w:rFonts w:ascii="Century Gothic" w:eastAsia="Calibri" w:hAnsi="Century Gothic" w:cs="Times New Roman"/>
              <w:bCs/>
              <w:iCs/>
              <w:color w:val="6E6E7C"/>
              <w:sz w:val="21"/>
              <w:szCs w:val="21"/>
            </w:rPr>
            <w:fldChar w:fldCharType="begin"/>
          </w:r>
          <w:r>
            <w:rPr>
              <w:rFonts w:ascii="Century Gothic" w:eastAsia="Calibri" w:hAnsi="Century Gothic" w:cs="Times New Roman"/>
              <w:bCs/>
              <w:iCs/>
              <w:color w:val="6E6E7C"/>
              <w:sz w:val="21"/>
              <w:szCs w:val="21"/>
              <w:lang w:val="es-ES"/>
            </w:rPr>
            <w:instrText xml:space="preserve"> CITATION Elo10 \l 3082 </w:instrText>
          </w:r>
          <w:r>
            <w:rPr>
              <w:rFonts w:ascii="Century Gothic" w:eastAsia="Calibri" w:hAnsi="Century Gothic" w:cs="Times New Roman"/>
              <w:bCs/>
              <w:iCs/>
              <w:color w:val="6E6E7C"/>
              <w:sz w:val="21"/>
              <w:szCs w:val="21"/>
            </w:rPr>
            <w:fldChar w:fldCharType="separate"/>
          </w:r>
          <w:r w:rsidRPr="001F202E">
            <w:rPr>
              <w:rFonts w:ascii="Century Gothic" w:eastAsia="Calibri" w:hAnsi="Century Gothic" w:cs="Times New Roman"/>
              <w:noProof/>
              <w:color w:val="6E6E7C"/>
              <w:sz w:val="21"/>
              <w:szCs w:val="21"/>
              <w:lang w:val="es-ES"/>
            </w:rPr>
            <w:t>(Elosegui, 2010)</w:t>
          </w:r>
          <w:r>
            <w:rPr>
              <w:rFonts w:ascii="Century Gothic" w:eastAsia="Calibri" w:hAnsi="Century Gothic" w:cs="Times New Roman"/>
              <w:bCs/>
              <w:iCs/>
              <w:color w:val="6E6E7C"/>
              <w:sz w:val="21"/>
              <w:szCs w:val="21"/>
            </w:rPr>
            <w:fldChar w:fldCharType="end"/>
          </w:r>
        </w:sdtContent>
      </w:sdt>
    </w:p>
    <w:p w14:paraId="0119581B" w14:textId="77777777" w:rsidR="00BB4C61" w:rsidRPr="00582936" w:rsidRDefault="00BB4C61" w:rsidP="00BB4C61">
      <w:pPr>
        <w:tabs>
          <w:tab w:val="left" w:pos="567"/>
          <w:tab w:val="left" w:pos="850"/>
          <w:tab w:val="left" w:pos="1587"/>
        </w:tabs>
        <w:spacing w:line="276" w:lineRule="auto"/>
        <w:jc w:val="both"/>
        <w:rPr>
          <w:rFonts w:ascii="Century Gothic" w:eastAsia="Calibri" w:hAnsi="Century Gothic" w:cs="Calibri"/>
          <w:b/>
          <w:iCs/>
          <w:color w:val="6E6E7C"/>
          <w:sz w:val="21"/>
          <w:szCs w:val="21"/>
        </w:rPr>
      </w:pPr>
      <w:r w:rsidRPr="00582936">
        <w:rPr>
          <w:rFonts w:ascii="Century Gothic" w:eastAsia="Calibri" w:hAnsi="Century Gothic" w:cs="Calibri"/>
          <w:b/>
          <w:iCs/>
          <w:color w:val="6E6E7C"/>
          <w:sz w:val="21"/>
          <w:szCs w:val="21"/>
        </w:rPr>
        <w:t>Establecimiento (Tipos)</w:t>
      </w:r>
    </w:p>
    <w:p w14:paraId="4455C66B" w14:textId="77777777" w:rsidR="00BB4C61" w:rsidRPr="00582936" w:rsidRDefault="00BB4C61" w:rsidP="00BB4C61">
      <w:pPr>
        <w:tabs>
          <w:tab w:val="left" w:pos="567"/>
          <w:tab w:val="left" w:pos="850"/>
          <w:tab w:val="left" w:pos="1587"/>
        </w:tabs>
        <w:spacing w:after="200" w:line="276" w:lineRule="auto"/>
        <w:jc w:val="both"/>
        <w:rPr>
          <w:rFonts w:ascii="Century Gothic" w:eastAsia="Calibri" w:hAnsi="Century Gothic" w:cs="Calibri"/>
          <w:iCs/>
          <w:color w:val="6E6E7C"/>
          <w:sz w:val="21"/>
          <w:szCs w:val="21"/>
        </w:rPr>
      </w:pPr>
      <w:r w:rsidRPr="00582936">
        <w:rPr>
          <w:rFonts w:ascii="Century Gothic" w:eastAsia="Calibri" w:hAnsi="Century Gothic" w:cs="Calibri"/>
          <w:iCs/>
          <w:color w:val="6E6E7C"/>
          <w:sz w:val="21"/>
          <w:szCs w:val="21"/>
        </w:rPr>
        <w:t xml:space="preserve">Para el caso de la encuesta, se señalan los diferentes tipos de establecimiento: </w:t>
      </w:r>
    </w:p>
    <w:p w14:paraId="29A9E312" w14:textId="77777777" w:rsidR="00BB4C61" w:rsidRPr="00582936" w:rsidRDefault="00BB4C61" w:rsidP="00E5524A">
      <w:pPr>
        <w:numPr>
          <w:ilvl w:val="0"/>
          <w:numId w:val="35"/>
        </w:numPr>
        <w:tabs>
          <w:tab w:val="left" w:pos="567"/>
          <w:tab w:val="left" w:pos="850"/>
          <w:tab w:val="left" w:pos="1587"/>
        </w:tabs>
        <w:spacing w:after="200" w:line="276" w:lineRule="auto"/>
        <w:contextualSpacing/>
        <w:jc w:val="both"/>
        <w:rPr>
          <w:rFonts w:ascii="Century Gothic" w:eastAsia="Calibri" w:hAnsi="Century Gothic" w:cs="Calibri"/>
          <w:iCs/>
          <w:color w:val="6E6E7C"/>
          <w:sz w:val="21"/>
          <w:szCs w:val="21"/>
        </w:rPr>
      </w:pPr>
      <w:r w:rsidRPr="00582936">
        <w:rPr>
          <w:rFonts w:ascii="Century Gothic" w:eastAsia="Times New Roman" w:hAnsi="Century Gothic" w:cs="Times New Roman"/>
          <w:b/>
          <w:bCs/>
          <w:iCs/>
          <w:color w:val="6E6E7C"/>
          <w:sz w:val="21"/>
          <w:szCs w:val="21"/>
        </w:rPr>
        <w:t>Único. -</w:t>
      </w:r>
      <w:r w:rsidRPr="00582936">
        <w:rPr>
          <w:rFonts w:ascii="Century Gothic" w:eastAsia="Calibri" w:hAnsi="Century Gothic" w:cs="Calibri"/>
          <w:iCs/>
          <w:color w:val="6E6E7C"/>
          <w:sz w:val="21"/>
          <w:szCs w:val="21"/>
        </w:rPr>
        <w:t xml:space="preserve"> Empresa que tiene un solo local o establecimiento, en el cual ejecuta sus actividades</w:t>
      </w:r>
      <w:r w:rsidR="003A7254" w:rsidRPr="00582936">
        <w:rPr>
          <w:rFonts w:ascii="Century Gothic" w:eastAsia="Calibri" w:hAnsi="Century Gothic" w:cs="Calibri"/>
          <w:iCs/>
          <w:color w:val="6E6E7C"/>
          <w:sz w:val="21"/>
          <w:szCs w:val="21"/>
        </w:rPr>
        <w:t>.</w:t>
      </w:r>
      <w:r w:rsidRPr="00582936">
        <w:rPr>
          <w:rFonts w:ascii="Century Gothic" w:eastAsia="Calibri" w:hAnsi="Century Gothic" w:cs="Calibri"/>
          <w:iCs/>
          <w:color w:val="6E6E7C"/>
          <w:sz w:val="21"/>
          <w:szCs w:val="21"/>
        </w:rPr>
        <w:t xml:space="preserve"> </w:t>
      </w:r>
    </w:p>
    <w:p w14:paraId="7578F391" w14:textId="77777777" w:rsidR="00BB4C61" w:rsidRPr="00582936" w:rsidRDefault="00BB4C61" w:rsidP="00E5524A">
      <w:pPr>
        <w:numPr>
          <w:ilvl w:val="0"/>
          <w:numId w:val="35"/>
        </w:numPr>
        <w:tabs>
          <w:tab w:val="left" w:pos="567"/>
          <w:tab w:val="left" w:pos="850"/>
          <w:tab w:val="left" w:pos="1587"/>
        </w:tabs>
        <w:spacing w:after="200" w:line="276" w:lineRule="auto"/>
        <w:contextualSpacing/>
        <w:jc w:val="both"/>
        <w:rPr>
          <w:rFonts w:ascii="Century Gothic" w:eastAsia="Calibri" w:hAnsi="Century Gothic" w:cs="Calibri"/>
          <w:iCs/>
          <w:color w:val="6E6E7C"/>
          <w:sz w:val="21"/>
          <w:szCs w:val="21"/>
        </w:rPr>
      </w:pPr>
      <w:r w:rsidRPr="00582936">
        <w:rPr>
          <w:rFonts w:ascii="Century Gothic" w:eastAsia="Times New Roman" w:hAnsi="Century Gothic" w:cs="Times New Roman"/>
          <w:b/>
          <w:bCs/>
          <w:iCs/>
          <w:color w:val="6E6E7C"/>
          <w:sz w:val="21"/>
          <w:szCs w:val="21"/>
        </w:rPr>
        <w:t>Matriz. -</w:t>
      </w:r>
      <w:r w:rsidRPr="00582936">
        <w:rPr>
          <w:rFonts w:ascii="Century Gothic" w:eastAsia="Calibri" w:hAnsi="Century Gothic" w:cs="Calibri"/>
          <w:b/>
          <w:iCs/>
          <w:color w:val="6E6E7C"/>
          <w:sz w:val="21"/>
          <w:szCs w:val="21"/>
        </w:rPr>
        <w:t xml:space="preserve"> </w:t>
      </w:r>
      <w:r w:rsidRPr="00582936">
        <w:rPr>
          <w:rFonts w:ascii="Century Gothic" w:eastAsia="Calibri" w:hAnsi="Century Gothic" w:cs="Calibri"/>
          <w:iCs/>
          <w:color w:val="6E6E7C"/>
          <w:sz w:val="21"/>
          <w:szCs w:val="21"/>
        </w:rPr>
        <w:t xml:space="preserve">Empresa que tiene varios locales o establecimientos, y la ejecución de sus actividades se concentran en ella. </w:t>
      </w:r>
    </w:p>
    <w:p w14:paraId="3C24ED33" w14:textId="77777777" w:rsidR="00BB4C61" w:rsidRPr="00582936" w:rsidRDefault="00BB4C61" w:rsidP="00E5524A">
      <w:pPr>
        <w:numPr>
          <w:ilvl w:val="0"/>
          <w:numId w:val="35"/>
        </w:numPr>
        <w:tabs>
          <w:tab w:val="left" w:pos="567"/>
          <w:tab w:val="left" w:pos="850"/>
          <w:tab w:val="left" w:pos="1587"/>
        </w:tabs>
        <w:spacing w:after="200" w:line="276" w:lineRule="auto"/>
        <w:contextualSpacing/>
        <w:jc w:val="both"/>
        <w:rPr>
          <w:rFonts w:ascii="Century Gothic" w:eastAsia="Calibri" w:hAnsi="Century Gothic" w:cs="Calibri"/>
          <w:iCs/>
          <w:color w:val="6E6E7C"/>
          <w:sz w:val="21"/>
          <w:szCs w:val="21"/>
        </w:rPr>
      </w:pPr>
      <w:r w:rsidRPr="00582936">
        <w:rPr>
          <w:rFonts w:ascii="Century Gothic" w:eastAsia="Times New Roman" w:hAnsi="Century Gothic" w:cs="Times New Roman"/>
          <w:b/>
          <w:bCs/>
          <w:iCs/>
          <w:color w:val="6E6E7C"/>
          <w:sz w:val="21"/>
          <w:szCs w:val="21"/>
        </w:rPr>
        <w:t>Sucursal. -</w:t>
      </w:r>
      <w:r w:rsidRPr="00582936">
        <w:rPr>
          <w:rFonts w:ascii="Century Gothic" w:eastAsia="Calibri" w:hAnsi="Century Gothic" w:cs="Calibri"/>
          <w:iCs/>
          <w:color w:val="6E6E7C"/>
          <w:sz w:val="21"/>
          <w:szCs w:val="21"/>
        </w:rPr>
        <w:t xml:space="preserve"> Local o establecimiento que depende de una matriz. </w:t>
      </w:r>
    </w:p>
    <w:p w14:paraId="6FAC8A2D" w14:textId="77777777" w:rsidR="00BB4C61" w:rsidRPr="00582936" w:rsidRDefault="00BB4C61" w:rsidP="00E5524A">
      <w:pPr>
        <w:numPr>
          <w:ilvl w:val="0"/>
          <w:numId w:val="35"/>
        </w:numPr>
        <w:tabs>
          <w:tab w:val="left" w:pos="567"/>
          <w:tab w:val="left" w:pos="850"/>
          <w:tab w:val="left" w:pos="1587"/>
        </w:tabs>
        <w:spacing w:after="200" w:line="276" w:lineRule="auto"/>
        <w:contextualSpacing/>
        <w:jc w:val="both"/>
        <w:rPr>
          <w:rFonts w:ascii="Century Gothic" w:eastAsia="Calibri" w:hAnsi="Century Gothic" w:cs="Calibri"/>
          <w:b/>
          <w:iCs/>
          <w:color w:val="6E6E7C"/>
          <w:sz w:val="21"/>
          <w:szCs w:val="21"/>
        </w:rPr>
      </w:pPr>
      <w:r w:rsidRPr="00582936">
        <w:rPr>
          <w:rFonts w:ascii="Century Gothic" w:eastAsia="Times New Roman" w:hAnsi="Century Gothic" w:cs="Times New Roman"/>
          <w:b/>
          <w:bCs/>
          <w:iCs/>
          <w:color w:val="6E6E7C"/>
          <w:sz w:val="21"/>
          <w:szCs w:val="21"/>
        </w:rPr>
        <w:lastRenderedPageBreak/>
        <w:t>Auxiliar. -</w:t>
      </w:r>
      <w:r w:rsidRPr="00582936">
        <w:rPr>
          <w:rFonts w:ascii="Century Gothic" w:eastAsia="Calibri" w:hAnsi="Century Gothic" w:cs="Calibri"/>
          <w:b/>
          <w:iCs/>
          <w:color w:val="6E6E7C"/>
          <w:sz w:val="21"/>
          <w:szCs w:val="21"/>
        </w:rPr>
        <w:t xml:space="preserve"> </w:t>
      </w:r>
      <w:r w:rsidRPr="00582936">
        <w:rPr>
          <w:rFonts w:ascii="Century Gothic" w:eastAsia="Calibri" w:hAnsi="Century Gothic" w:cs="Calibri"/>
          <w:iCs/>
          <w:color w:val="6E6E7C"/>
          <w:sz w:val="21"/>
          <w:szCs w:val="21"/>
        </w:rPr>
        <w:t>Establecimiento que no ejecuta actividades productivas y de operación de la empresa; pero coadyuva a desarrollar sus actividades</w:t>
      </w:r>
      <w:sdt>
        <w:sdtPr>
          <w:rPr>
            <w:rFonts w:ascii="Century Gothic" w:eastAsia="Calibri" w:hAnsi="Century Gothic" w:cs="Calibri"/>
            <w:iCs/>
            <w:color w:val="6E6E7C"/>
            <w:sz w:val="21"/>
            <w:szCs w:val="21"/>
          </w:rPr>
          <w:id w:val="1057130664"/>
          <w:citation/>
        </w:sdtPr>
        <w:sdtContent>
          <w:r w:rsidR="00924439">
            <w:rPr>
              <w:rFonts w:ascii="Century Gothic" w:eastAsia="Calibri" w:hAnsi="Century Gothic" w:cs="Calibri"/>
              <w:iCs/>
              <w:color w:val="6E6E7C"/>
              <w:sz w:val="21"/>
              <w:szCs w:val="21"/>
            </w:rPr>
            <w:fldChar w:fldCharType="begin"/>
          </w:r>
          <w:r w:rsidR="00924439">
            <w:rPr>
              <w:rFonts w:ascii="Century Gothic" w:eastAsia="Calibri" w:hAnsi="Century Gothic" w:cs="Calibri"/>
              <w:iCs/>
              <w:color w:val="6E6E7C"/>
              <w:sz w:val="21"/>
              <w:szCs w:val="21"/>
              <w:lang w:val="es-ES"/>
            </w:rPr>
            <w:instrText xml:space="preserve"> CITATION CEP13 \l 3082 </w:instrText>
          </w:r>
          <w:r w:rsidR="00924439">
            <w:rPr>
              <w:rFonts w:ascii="Century Gothic" w:eastAsia="Calibri" w:hAnsi="Century Gothic" w:cs="Calibri"/>
              <w:iCs/>
              <w:color w:val="6E6E7C"/>
              <w:sz w:val="21"/>
              <w:szCs w:val="21"/>
            </w:rPr>
            <w:fldChar w:fldCharType="separate"/>
          </w:r>
          <w:r w:rsidR="006E6B3C">
            <w:rPr>
              <w:rFonts w:ascii="Century Gothic" w:eastAsia="Calibri" w:hAnsi="Century Gothic" w:cs="Calibri"/>
              <w:iCs/>
              <w:noProof/>
              <w:color w:val="6E6E7C"/>
              <w:sz w:val="21"/>
              <w:szCs w:val="21"/>
              <w:lang w:val="es-ES"/>
            </w:rPr>
            <w:t xml:space="preserve"> </w:t>
          </w:r>
          <w:r w:rsidR="006E6B3C" w:rsidRPr="006E6B3C">
            <w:rPr>
              <w:rFonts w:ascii="Century Gothic" w:eastAsia="Calibri" w:hAnsi="Century Gothic" w:cs="Calibri"/>
              <w:noProof/>
              <w:color w:val="6E6E7C"/>
              <w:sz w:val="21"/>
              <w:szCs w:val="21"/>
              <w:lang w:val="es-ES"/>
            </w:rPr>
            <w:t>(CEPAL, 2013)</w:t>
          </w:r>
          <w:r w:rsidR="00924439">
            <w:rPr>
              <w:rFonts w:ascii="Century Gothic" w:eastAsia="Calibri" w:hAnsi="Century Gothic" w:cs="Calibri"/>
              <w:iCs/>
              <w:color w:val="6E6E7C"/>
              <w:sz w:val="21"/>
              <w:szCs w:val="21"/>
            </w:rPr>
            <w:fldChar w:fldCharType="end"/>
          </w:r>
        </w:sdtContent>
      </w:sdt>
      <w:r w:rsidR="003A7254" w:rsidRPr="00582936">
        <w:rPr>
          <w:rFonts w:ascii="Century Gothic" w:eastAsia="Calibri" w:hAnsi="Century Gothic" w:cs="Calibri"/>
          <w:iCs/>
          <w:color w:val="6E6E7C"/>
          <w:sz w:val="21"/>
          <w:szCs w:val="21"/>
        </w:rPr>
        <w:t>.</w:t>
      </w:r>
      <w:r w:rsidRPr="00582936">
        <w:rPr>
          <w:rFonts w:ascii="Century Gothic" w:eastAsia="Calibri" w:hAnsi="Century Gothic" w:cs="Calibri"/>
          <w:iCs/>
          <w:color w:val="6E6E7C"/>
          <w:sz w:val="21"/>
          <w:szCs w:val="21"/>
        </w:rPr>
        <w:t xml:space="preserve"> </w:t>
      </w:r>
    </w:p>
    <w:p w14:paraId="493DD995" w14:textId="77777777" w:rsidR="00BB4C61" w:rsidRPr="00582936" w:rsidRDefault="00BB4C61" w:rsidP="00BB4C61">
      <w:pPr>
        <w:spacing w:line="276" w:lineRule="auto"/>
        <w:jc w:val="both"/>
        <w:rPr>
          <w:rFonts w:ascii="Century Gothic" w:eastAsia="Times New Roman" w:hAnsi="Century Gothic" w:cs="Arial"/>
          <w:b/>
          <w:bCs/>
          <w:iCs/>
          <w:color w:val="6E6E7C"/>
          <w:sz w:val="21"/>
          <w:szCs w:val="21"/>
          <w:lang w:eastAsia="es-EC"/>
        </w:rPr>
      </w:pPr>
    </w:p>
    <w:p w14:paraId="64D0FF12" w14:textId="77777777" w:rsidR="00BB4C61" w:rsidRPr="00582936" w:rsidRDefault="00BB4C61" w:rsidP="00BB4C61">
      <w:pPr>
        <w:spacing w:after="200"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Gastos por consumo de bienes y servicios</w:t>
      </w:r>
    </w:p>
    <w:p w14:paraId="40D63C7E" w14:textId="77777777" w:rsidR="00BB4C61" w:rsidRPr="00582936" w:rsidRDefault="00BB4C61" w:rsidP="00BB4C61">
      <w:pPr>
        <w:spacing w:after="24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 xml:space="preserve">Es el valor de todos los bienes y servicios consumidos por la unidad económica para realizar sus operaciones en el periodo de referencia, independientemente del periodo en que hayan sido comprados o adquiridos, considerando el valor de los bienes y servicios que recibió de otros establecimientos de la misma empresa (con o sin costo) para su uso en las actividades de producción u operación de la unidad económica. Incluye: el valor de los bienes y servicios que recibió en transferencia para su consumo o transformación y fueron efectivamente consumidos, en sus actividades productivas o relacionadas con las mismas. Excluye: los gastos fiscales, financieros, donaciones y los gastos de las empresas o razones sociales controladas por esta empresa. </w:t>
      </w:r>
      <w:sdt>
        <w:sdtPr>
          <w:rPr>
            <w:rFonts w:ascii="Century Gothic" w:eastAsia="Times New Roman" w:hAnsi="Century Gothic" w:cs="Arial"/>
            <w:bCs/>
            <w:iCs/>
            <w:color w:val="6E6E7C"/>
            <w:sz w:val="21"/>
            <w:szCs w:val="21"/>
            <w:lang w:eastAsia="es-EC"/>
          </w:rPr>
          <w:id w:val="-1673874505"/>
          <w:citation/>
        </w:sdtPr>
        <w:sdtContent>
          <w:r w:rsidRPr="00582936">
            <w:rPr>
              <w:rFonts w:ascii="Century Gothic" w:eastAsia="Times New Roman" w:hAnsi="Century Gothic" w:cs="Arial"/>
              <w:bCs/>
              <w:iCs/>
              <w:color w:val="6E6E7C"/>
              <w:sz w:val="21"/>
              <w:szCs w:val="21"/>
              <w:lang w:eastAsia="es-EC"/>
            </w:rPr>
            <w:fldChar w:fldCharType="begin"/>
          </w:r>
          <w:r w:rsidRPr="00582936">
            <w:rPr>
              <w:rFonts w:ascii="Century Gothic" w:eastAsia="Times New Roman" w:hAnsi="Century Gothic" w:cs="Arial"/>
              <w:bCs/>
              <w:iCs/>
              <w:color w:val="6E6E7C"/>
              <w:sz w:val="21"/>
              <w:szCs w:val="21"/>
              <w:lang w:eastAsia="es-EC"/>
            </w:rPr>
            <w:instrText xml:space="preserve"> CITATION Ins14 \l 12298 </w:instrText>
          </w:r>
          <w:r w:rsidRPr="00582936">
            <w:rPr>
              <w:rFonts w:ascii="Century Gothic" w:eastAsia="Times New Roman" w:hAnsi="Century Gothic" w:cs="Arial"/>
              <w:bCs/>
              <w:iCs/>
              <w:color w:val="6E6E7C"/>
              <w:sz w:val="21"/>
              <w:szCs w:val="21"/>
              <w:lang w:eastAsia="es-EC"/>
            </w:rPr>
            <w:fldChar w:fldCharType="separate"/>
          </w:r>
          <w:r w:rsidR="006E6B3C" w:rsidRPr="006E6B3C">
            <w:rPr>
              <w:rFonts w:ascii="Century Gothic" w:eastAsia="Times New Roman" w:hAnsi="Century Gothic" w:cs="Arial"/>
              <w:noProof/>
              <w:color w:val="6E6E7C"/>
              <w:sz w:val="21"/>
              <w:szCs w:val="21"/>
              <w:lang w:eastAsia="es-EC"/>
            </w:rPr>
            <w:t>(INEGI, 2014)</w:t>
          </w:r>
          <w:r w:rsidRPr="00582936">
            <w:rPr>
              <w:rFonts w:ascii="Century Gothic" w:eastAsia="Times New Roman" w:hAnsi="Century Gothic" w:cs="Arial"/>
              <w:bCs/>
              <w:iCs/>
              <w:color w:val="6E6E7C"/>
              <w:sz w:val="21"/>
              <w:szCs w:val="21"/>
              <w:lang w:eastAsia="es-EC"/>
            </w:rPr>
            <w:fldChar w:fldCharType="end"/>
          </w:r>
        </w:sdtContent>
      </w:sdt>
      <w:r w:rsidRPr="00582936">
        <w:rPr>
          <w:rFonts w:ascii="Century Gothic" w:eastAsia="Times New Roman" w:hAnsi="Century Gothic" w:cs="Arial"/>
          <w:bCs/>
          <w:iCs/>
          <w:color w:val="6E6E7C"/>
          <w:sz w:val="21"/>
          <w:szCs w:val="21"/>
          <w:lang w:eastAsia="es-EC"/>
        </w:rPr>
        <w:t>.</w:t>
      </w:r>
    </w:p>
    <w:p w14:paraId="75DB7746" w14:textId="77777777" w:rsidR="00BB4C61" w:rsidRPr="00582936" w:rsidRDefault="00BB4C61" w:rsidP="00BB4C61">
      <w:pPr>
        <w:spacing w:after="200"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Gasto por depreciaciones</w:t>
      </w:r>
    </w:p>
    <w:p w14:paraId="7F7BBFE6" w14:textId="77777777" w:rsidR="00BB4C61" w:rsidRPr="00582936" w:rsidRDefault="00BB4C61" w:rsidP="00BB4C61">
      <w:pPr>
        <w:spacing w:after="200" w:line="276" w:lineRule="auto"/>
        <w:jc w:val="both"/>
        <w:rPr>
          <w:rFonts w:ascii="Century Gothic" w:eastAsia="Times New Roman" w:hAnsi="Century Gothic" w:cs="Arial"/>
          <w:b/>
          <w:iCs/>
          <w:color w:val="6E6E7C"/>
          <w:sz w:val="21"/>
          <w:szCs w:val="21"/>
          <w:lang w:eastAsia="es-EC"/>
        </w:rPr>
      </w:pPr>
      <w:r w:rsidRPr="00582936">
        <w:rPr>
          <w:rFonts w:ascii="Century Gothic" w:eastAsia="Times New Roman" w:hAnsi="Century Gothic" w:cs="Arial"/>
          <w:bCs/>
          <w:iCs/>
          <w:color w:val="6E6E7C"/>
          <w:sz w:val="21"/>
          <w:szCs w:val="21"/>
          <w:lang w:eastAsia="es-EC"/>
        </w:rPr>
        <w:t>En esta línea se registrará el gasto por “la distribución sistemática del importe depreciable de un activo a lo largo de su vida útil. Importe depreciable es el costo de un activo, u otro importe que lo haya sustituido, menos su valor residual.” (SRI, 2017). Es importante mencionar que debe registrarse en esta línea solamente el valor de la depreciación generada en el año investigado. Además, de acuerdo al Art. 28 numeral 7 RALRTI, el máximo de depreciación en costo o gasto como deducible es de: a) 5% anual en inmuebles (no terrenos), naves, aeronaves, barcazas y similares; b) 10% anual en instalaciones, maquinarias, equipos y muebles; c) 20% anual en vehículos, equipos de transporte y equipo camionero móvil; y d) 33% anual de equipos de cómputo y software.</w:t>
      </w:r>
    </w:p>
    <w:p w14:paraId="497DC3FB" w14:textId="77777777" w:rsidR="00BB4C61" w:rsidRPr="00582936" w:rsidRDefault="00BB4C61" w:rsidP="00BB4C61">
      <w:pPr>
        <w:spacing w:before="240" w:line="276" w:lineRule="auto"/>
        <w:jc w:val="both"/>
        <w:rPr>
          <w:rFonts w:ascii="Century Gothic" w:eastAsia="Times New Roman" w:hAnsi="Century Gothic" w:cs="Arial"/>
          <w:b/>
          <w:bCs/>
          <w:iCs/>
          <w:color w:val="6E6E7C"/>
          <w:sz w:val="21"/>
          <w:szCs w:val="21"/>
          <w:lang w:eastAsia="es-EC"/>
        </w:rPr>
      </w:pPr>
      <w:r w:rsidRPr="00582936">
        <w:rPr>
          <w:rFonts w:ascii="Century Gothic" w:eastAsia="Times New Roman" w:hAnsi="Century Gothic" w:cs="Arial"/>
          <w:b/>
          <w:bCs/>
          <w:iCs/>
          <w:color w:val="6E6E7C"/>
          <w:sz w:val="21"/>
          <w:szCs w:val="21"/>
          <w:lang w:eastAsia="es-EC"/>
        </w:rPr>
        <w:t>Sobresueldos</w:t>
      </w:r>
    </w:p>
    <w:p w14:paraId="78D43D89" w14:textId="77777777" w:rsidR="00BB4C61" w:rsidRPr="00582936" w:rsidRDefault="00BB4C61" w:rsidP="00BB4C61">
      <w:pPr>
        <w:spacing w:before="240" w:after="200" w:line="276" w:lineRule="auto"/>
        <w:jc w:val="both"/>
        <w:rPr>
          <w:rFonts w:ascii="Century Gothic" w:eastAsia="Times New Roman" w:hAnsi="Century Gothic" w:cs="Arial"/>
          <w:bCs/>
          <w:iCs/>
          <w:color w:val="6E6E7C"/>
          <w:sz w:val="21"/>
          <w:szCs w:val="21"/>
          <w:lang w:eastAsia="es-EC"/>
        </w:rPr>
      </w:pPr>
      <w:r w:rsidRPr="00582936">
        <w:rPr>
          <w:rFonts w:ascii="Century Gothic" w:eastAsia="Times New Roman" w:hAnsi="Century Gothic" w:cs="Arial"/>
          <w:bCs/>
          <w:iCs/>
          <w:color w:val="6E6E7C"/>
          <w:sz w:val="21"/>
          <w:szCs w:val="21"/>
          <w:lang w:eastAsia="es-EC"/>
        </w:rPr>
        <w:t>Son todos aquellos beneficios sociales que, por Ley, el empleador está obligado a entregar a sus trabajadores. Debe incluirse también todos aquellos beneficios.</w:t>
      </w:r>
    </w:p>
    <w:p w14:paraId="0149AA4F" w14:textId="77777777" w:rsidR="00BB4C61" w:rsidRPr="00582936" w:rsidRDefault="00BB4C61" w:rsidP="00BC517C">
      <w:pPr>
        <w:spacing w:after="240" w:line="276" w:lineRule="auto"/>
        <w:jc w:val="both"/>
        <w:rPr>
          <w:rFonts w:ascii="Century Gothic" w:hAnsi="Century Gothic"/>
          <w:color w:val="6E6E7C"/>
          <w:sz w:val="18"/>
        </w:rPr>
      </w:pPr>
    </w:p>
    <w:p w14:paraId="02173DCB" w14:textId="77777777" w:rsidR="003A7254" w:rsidRPr="00582936" w:rsidRDefault="003A7254" w:rsidP="00BC517C">
      <w:pPr>
        <w:spacing w:after="240" w:line="276" w:lineRule="auto"/>
        <w:jc w:val="both"/>
        <w:rPr>
          <w:rFonts w:ascii="Century Gothic" w:hAnsi="Century Gothic"/>
          <w:color w:val="6E6E7C"/>
          <w:sz w:val="18"/>
        </w:rPr>
      </w:pPr>
    </w:p>
    <w:p w14:paraId="50AA44DA" w14:textId="77777777" w:rsidR="003A7254" w:rsidRPr="00582936" w:rsidRDefault="003A7254" w:rsidP="00BC517C">
      <w:pPr>
        <w:spacing w:after="240" w:line="276" w:lineRule="auto"/>
        <w:jc w:val="both"/>
        <w:rPr>
          <w:rFonts w:ascii="Century Gothic" w:hAnsi="Century Gothic"/>
          <w:color w:val="6E6E7C"/>
          <w:sz w:val="18"/>
        </w:rPr>
      </w:pPr>
    </w:p>
    <w:p w14:paraId="2F2035B3" w14:textId="77777777" w:rsidR="003A7254" w:rsidRPr="00582936" w:rsidRDefault="003A7254" w:rsidP="00BC517C">
      <w:pPr>
        <w:spacing w:after="240" w:line="276" w:lineRule="auto"/>
        <w:jc w:val="both"/>
        <w:rPr>
          <w:rFonts w:ascii="Century Gothic" w:hAnsi="Century Gothic"/>
          <w:color w:val="6E6E7C"/>
          <w:sz w:val="18"/>
        </w:rPr>
      </w:pPr>
    </w:p>
    <w:p w14:paraId="01B8DEBC" w14:textId="77777777" w:rsidR="003A7254" w:rsidRPr="00582936" w:rsidRDefault="003A7254" w:rsidP="00BC517C">
      <w:pPr>
        <w:spacing w:after="240" w:line="276" w:lineRule="auto"/>
        <w:jc w:val="both"/>
        <w:rPr>
          <w:rFonts w:ascii="Century Gothic" w:hAnsi="Century Gothic"/>
          <w:color w:val="6E6E7C"/>
          <w:sz w:val="18"/>
        </w:rPr>
      </w:pPr>
    </w:p>
    <w:p w14:paraId="2C458972" w14:textId="77777777" w:rsidR="003A7254" w:rsidRPr="00582936" w:rsidRDefault="003A7254" w:rsidP="00BC517C">
      <w:pPr>
        <w:spacing w:after="240" w:line="276" w:lineRule="auto"/>
        <w:jc w:val="both"/>
        <w:rPr>
          <w:rFonts w:ascii="Century Gothic" w:hAnsi="Century Gothic"/>
          <w:color w:val="6E6E7C"/>
          <w:sz w:val="18"/>
        </w:rPr>
      </w:pPr>
    </w:p>
    <w:p w14:paraId="02B6A845" w14:textId="77777777" w:rsidR="003A7254" w:rsidRPr="00582936" w:rsidRDefault="003A7254" w:rsidP="00BC517C">
      <w:pPr>
        <w:spacing w:after="240" w:line="276" w:lineRule="auto"/>
        <w:jc w:val="both"/>
        <w:rPr>
          <w:rFonts w:ascii="Century Gothic" w:hAnsi="Century Gothic"/>
          <w:color w:val="6E6E7C"/>
          <w:sz w:val="18"/>
        </w:rPr>
      </w:pPr>
    </w:p>
    <w:p w14:paraId="34621EFB" w14:textId="77777777" w:rsidR="003A7254" w:rsidRPr="00582936" w:rsidRDefault="003A7254" w:rsidP="00BC517C">
      <w:pPr>
        <w:spacing w:after="240" w:line="276" w:lineRule="auto"/>
        <w:jc w:val="both"/>
        <w:rPr>
          <w:rFonts w:ascii="Century Gothic" w:hAnsi="Century Gothic"/>
          <w:color w:val="6E6E7C"/>
          <w:sz w:val="18"/>
        </w:rPr>
      </w:pPr>
    </w:p>
    <w:p w14:paraId="334B5AB4" w14:textId="77777777" w:rsidR="00BC517C" w:rsidRPr="00582936" w:rsidRDefault="00CA0539" w:rsidP="00050627">
      <w:pPr>
        <w:pStyle w:val="Estilo1"/>
        <w:rPr>
          <w:color w:val="6E6E7C"/>
          <w:sz w:val="40"/>
          <w:szCs w:val="40"/>
        </w:rPr>
      </w:pPr>
      <w:bookmarkStart w:id="450" w:name="_Toc126658022"/>
      <w:bookmarkStart w:id="451" w:name="_Toc148617370"/>
      <w:bookmarkStart w:id="452" w:name="_Toc161322589"/>
      <w:r w:rsidRPr="00582936">
        <w:rPr>
          <w:color w:val="6E6E7C"/>
          <w:sz w:val="40"/>
          <w:szCs w:val="40"/>
        </w:rPr>
        <w:lastRenderedPageBreak/>
        <w:t>Documentación relacionada</w:t>
      </w:r>
      <w:bookmarkEnd w:id="450"/>
      <w:bookmarkEnd w:id="451"/>
      <w:bookmarkEnd w:id="452"/>
    </w:p>
    <w:p w14:paraId="6CE37BDC" w14:textId="77777777" w:rsidR="000B6DAB" w:rsidRPr="00582936" w:rsidRDefault="000B6DAB" w:rsidP="00BC517C">
      <w:pPr>
        <w:spacing w:after="240" w:line="276" w:lineRule="auto"/>
        <w:rPr>
          <w:rFonts w:ascii="Century Gothic" w:hAnsi="Century Gothic"/>
          <w:b/>
          <w:color w:val="6E6E7C"/>
          <w:sz w:val="2"/>
          <w:szCs w:val="21"/>
        </w:rPr>
      </w:pPr>
    </w:p>
    <w:p w14:paraId="6E13AA45" w14:textId="77777777" w:rsidR="000B6DAB" w:rsidRPr="00582936" w:rsidRDefault="000B6DAB" w:rsidP="00BC517C">
      <w:pPr>
        <w:spacing w:after="240" w:line="276" w:lineRule="auto"/>
        <w:rPr>
          <w:rFonts w:ascii="Century Gothic" w:hAnsi="Century Gothic"/>
          <w:b/>
          <w:color w:val="6E6E7C"/>
          <w:sz w:val="21"/>
          <w:szCs w:val="21"/>
        </w:rPr>
      </w:pPr>
      <w:r w:rsidRPr="00582936">
        <w:rPr>
          <w:rFonts w:ascii="Century Gothic" w:hAnsi="Century Gothic"/>
          <w:b/>
          <w:color w:val="6E6E7C"/>
          <w:sz w:val="21"/>
          <w:szCs w:val="21"/>
        </w:rPr>
        <w:t xml:space="preserve">Diccionario de variables </w:t>
      </w:r>
    </w:p>
    <w:p w14:paraId="037802F2" w14:textId="77777777" w:rsidR="000B6DAB" w:rsidRPr="00582936" w:rsidRDefault="00746E03" w:rsidP="003A7254">
      <w:pPr>
        <w:spacing w:after="240" w:line="276" w:lineRule="auto"/>
        <w:jc w:val="both"/>
        <w:rPr>
          <w:rFonts w:ascii="Century Gothic" w:hAnsi="Century Gothic"/>
          <w:color w:val="6E6E7C"/>
          <w:sz w:val="21"/>
          <w:szCs w:val="21"/>
        </w:rPr>
      </w:pPr>
      <w:hyperlink r:id="rId22" w:history="1">
        <w:r w:rsidR="000B6DAB" w:rsidRPr="00582936">
          <w:rPr>
            <w:rStyle w:val="Hipervnculo"/>
            <w:rFonts w:ascii="Century Gothic" w:hAnsi="Century Gothic"/>
            <w:color w:val="6E6E7C"/>
            <w:sz w:val="21"/>
            <w:szCs w:val="21"/>
          </w:rPr>
          <w:t>https://www.ecuadorencifras.gob.ec/documentos/web-inec/Estadisticas_Economicas/Encuesta_Estructural_Empresarial/2021/2021_BDD_ENESEM_Diccionario_de_variables.zip</w:t>
        </w:r>
      </w:hyperlink>
    </w:p>
    <w:p w14:paraId="2E15A45B" w14:textId="77777777" w:rsidR="000B6DAB" w:rsidRPr="00582936" w:rsidRDefault="000B6DAB" w:rsidP="00BC517C">
      <w:pPr>
        <w:spacing w:after="240" w:line="276" w:lineRule="auto"/>
        <w:rPr>
          <w:rFonts w:ascii="Century Gothic" w:hAnsi="Century Gothic"/>
          <w:b/>
          <w:color w:val="6E6E7C"/>
          <w:sz w:val="21"/>
          <w:szCs w:val="21"/>
        </w:rPr>
      </w:pPr>
      <w:r w:rsidRPr="00582936">
        <w:rPr>
          <w:rFonts w:ascii="Century Gothic" w:hAnsi="Century Gothic"/>
          <w:b/>
          <w:color w:val="6E6E7C"/>
          <w:sz w:val="21"/>
          <w:szCs w:val="21"/>
        </w:rPr>
        <w:t>Tabulados y series históricas</w:t>
      </w:r>
    </w:p>
    <w:p w14:paraId="0F4EF182" w14:textId="77777777" w:rsidR="000B6DAB" w:rsidRPr="00582936" w:rsidRDefault="00746E03" w:rsidP="00BC517C">
      <w:pPr>
        <w:spacing w:after="240" w:line="276" w:lineRule="auto"/>
        <w:rPr>
          <w:rFonts w:ascii="Century Gothic" w:hAnsi="Century Gothic"/>
          <w:color w:val="6E6E7C"/>
          <w:sz w:val="21"/>
          <w:szCs w:val="21"/>
        </w:rPr>
      </w:pPr>
      <w:hyperlink r:id="rId23" w:history="1">
        <w:r w:rsidR="000B6DAB" w:rsidRPr="00582936">
          <w:rPr>
            <w:rStyle w:val="Hipervnculo"/>
            <w:rFonts w:ascii="Century Gothic" w:hAnsi="Century Gothic"/>
            <w:color w:val="6E6E7C"/>
            <w:sz w:val="21"/>
            <w:szCs w:val="21"/>
          </w:rPr>
          <w:t>https://www.ecuadorencifras.gob.ec/documentos/web-inec/Estadisticas_Economicas/Encuesta_Estructural_Empresarial/2021/2021_ENESEM_Tabulados_TomoI_Excel.xlsx</w:t>
        </w:r>
      </w:hyperlink>
    </w:p>
    <w:p w14:paraId="6293AF6A" w14:textId="77777777" w:rsidR="000B6DAB" w:rsidRPr="00582936" w:rsidRDefault="000B6DAB" w:rsidP="00BC517C">
      <w:pPr>
        <w:spacing w:after="240" w:line="276" w:lineRule="auto"/>
        <w:rPr>
          <w:rFonts w:ascii="Century Gothic" w:hAnsi="Century Gothic"/>
          <w:b/>
          <w:color w:val="6E6E7C"/>
          <w:sz w:val="21"/>
          <w:szCs w:val="21"/>
        </w:rPr>
      </w:pPr>
      <w:r w:rsidRPr="00582936">
        <w:rPr>
          <w:rFonts w:ascii="Century Gothic" w:hAnsi="Century Gothic"/>
          <w:b/>
          <w:color w:val="6E6E7C"/>
          <w:sz w:val="21"/>
          <w:szCs w:val="21"/>
        </w:rPr>
        <w:t>Ficha de indicadores</w:t>
      </w:r>
    </w:p>
    <w:p w14:paraId="56BD4F45" w14:textId="77777777" w:rsidR="000B6DAB" w:rsidRPr="006E10E6" w:rsidRDefault="00746E03" w:rsidP="00BC517C">
      <w:pPr>
        <w:spacing w:after="240" w:line="276" w:lineRule="auto"/>
        <w:rPr>
          <w:rFonts w:ascii="Century Gothic" w:hAnsi="Century Gothic"/>
          <w:color w:val="6E6E7C"/>
          <w:sz w:val="21"/>
          <w:szCs w:val="21"/>
        </w:rPr>
      </w:pPr>
      <w:hyperlink r:id="rId24" w:history="1">
        <w:r w:rsidR="000B6DAB" w:rsidRPr="006E10E6">
          <w:rPr>
            <w:rStyle w:val="Hipervnculo"/>
            <w:rFonts w:ascii="Century Gothic" w:hAnsi="Century Gothic"/>
            <w:color w:val="6E6E7C"/>
            <w:sz w:val="21"/>
            <w:szCs w:val="21"/>
          </w:rPr>
          <w:t>https://www.ecuadorencifras.gob.ec/documentos/web-inec/Estadisticas_Economicas/Encuesta_Estructural_Empresarial/2021/2021_ENESEM_TomoI_Ficha_indicadores.zip</w:t>
        </w:r>
      </w:hyperlink>
    </w:p>
    <w:p w14:paraId="3796FB22" w14:textId="77777777" w:rsidR="000B6DAB" w:rsidRPr="006E10E6" w:rsidRDefault="000B6DAB" w:rsidP="00BC517C">
      <w:pPr>
        <w:spacing w:after="240" w:line="276" w:lineRule="auto"/>
        <w:rPr>
          <w:rFonts w:ascii="Century Gothic" w:hAnsi="Century Gothic"/>
          <w:b/>
          <w:color w:val="6E6E7C"/>
          <w:sz w:val="21"/>
          <w:szCs w:val="21"/>
        </w:rPr>
      </w:pPr>
      <w:r w:rsidRPr="006E10E6">
        <w:rPr>
          <w:rFonts w:ascii="Century Gothic" w:hAnsi="Century Gothic"/>
          <w:b/>
          <w:color w:val="6E6E7C"/>
          <w:sz w:val="21"/>
          <w:szCs w:val="21"/>
        </w:rPr>
        <w:t>Diseño muestral y marco de muestreo</w:t>
      </w:r>
    </w:p>
    <w:p w14:paraId="362D24DD" w14:textId="77777777" w:rsidR="000B6DAB" w:rsidRPr="006E10E6" w:rsidRDefault="00746E03" w:rsidP="00BC517C">
      <w:pPr>
        <w:spacing w:after="240" w:line="276" w:lineRule="auto"/>
        <w:rPr>
          <w:rFonts w:ascii="Century Gothic" w:hAnsi="Century Gothic"/>
          <w:color w:val="6E6E7C"/>
          <w:sz w:val="21"/>
          <w:szCs w:val="21"/>
        </w:rPr>
      </w:pPr>
      <w:hyperlink r:id="rId25" w:history="1">
        <w:r w:rsidR="000B6DAB" w:rsidRPr="006E10E6">
          <w:rPr>
            <w:rStyle w:val="Hipervnculo"/>
            <w:rFonts w:ascii="Century Gothic" w:hAnsi="Century Gothic"/>
            <w:color w:val="6E6E7C"/>
            <w:sz w:val="21"/>
            <w:szCs w:val="21"/>
          </w:rPr>
          <w:t>https://www.ecuadorencifras.gob.ec/documentos/web-inec/Estadisticas_Economicas/Encuesta_Estructural_Empresarial/2021/2021_ENESEM_Diseno_Muestral.pdf</w:t>
        </w:r>
      </w:hyperlink>
    </w:p>
    <w:p w14:paraId="7CEC0022" w14:textId="77777777" w:rsidR="000B6DAB" w:rsidRPr="006E10E6" w:rsidRDefault="000B6DAB" w:rsidP="00BC517C">
      <w:pPr>
        <w:spacing w:after="240" w:line="276" w:lineRule="auto"/>
        <w:rPr>
          <w:rFonts w:ascii="Century Gothic" w:hAnsi="Century Gothic"/>
          <w:b/>
          <w:color w:val="6E6E7C"/>
          <w:sz w:val="21"/>
          <w:szCs w:val="21"/>
        </w:rPr>
      </w:pPr>
      <w:r w:rsidRPr="006E10E6">
        <w:rPr>
          <w:rFonts w:ascii="Century Gothic" w:hAnsi="Century Gothic"/>
          <w:b/>
          <w:color w:val="6E6E7C"/>
          <w:sz w:val="21"/>
          <w:szCs w:val="21"/>
        </w:rPr>
        <w:t>Guía del usuario</w:t>
      </w:r>
    </w:p>
    <w:p w14:paraId="04CE0DFE" w14:textId="77777777" w:rsidR="00BB4C61" w:rsidRPr="006E10E6" w:rsidRDefault="00746E03" w:rsidP="00BC517C">
      <w:pPr>
        <w:spacing w:after="240" w:line="276" w:lineRule="auto"/>
        <w:rPr>
          <w:rStyle w:val="Hipervnculo"/>
          <w:rFonts w:ascii="Century Gothic" w:hAnsi="Century Gothic"/>
          <w:color w:val="6E6E7C"/>
          <w:sz w:val="21"/>
          <w:szCs w:val="21"/>
        </w:rPr>
      </w:pPr>
      <w:hyperlink r:id="rId26" w:history="1">
        <w:r w:rsidR="000B6DAB" w:rsidRPr="006E10E6">
          <w:rPr>
            <w:rStyle w:val="Hipervnculo"/>
            <w:rFonts w:ascii="Century Gothic" w:hAnsi="Century Gothic"/>
            <w:color w:val="6E6E7C"/>
            <w:sz w:val="21"/>
            <w:szCs w:val="21"/>
          </w:rPr>
          <w:t>https://www.ecuadorencifras.gob.ec/documentos/web-inec/Estadisticas_Economicas/Encuesta_Estructural_Empresarial/2021/2021_ENESEM_GuiadeBDD.pdf</w:t>
        </w:r>
      </w:hyperlink>
    </w:p>
    <w:p w14:paraId="6FFB83A4" w14:textId="77777777" w:rsidR="006E10E6" w:rsidRPr="006E10E6" w:rsidRDefault="006E10E6" w:rsidP="006E10E6">
      <w:pPr>
        <w:pStyle w:val="Ttulo3"/>
        <w:rPr>
          <w:rFonts w:eastAsiaTheme="minorHAnsi" w:cstheme="minorBidi"/>
          <w:color w:val="6E6E7C"/>
          <w:sz w:val="21"/>
          <w:szCs w:val="21"/>
        </w:rPr>
      </w:pPr>
      <w:bookmarkStart w:id="453" w:name="_Toc161322590"/>
      <w:r w:rsidRPr="006E10E6">
        <w:rPr>
          <w:rFonts w:eastAsiaTheme="minorHAnsi" w:cstheme="minorBidi"/>
          <w:color w:val="6E6E7C"/>
          <w:sz w:val="21"/>
          <w:szCs w:val="21"/>
        </w:rPr>
        <w:t>Comisión de Cuentas Económicas y Productivas</w:t>
      </w:r>
      <w:bookmarkEnd w:id="453"/>
    </w:p>
    <w:p w14:paraId="1EF61787" w14:textId="77777777" w:rsidR="006E10E6" w:rsidRDefault="00746E03" w:rsidP="00BC517C">
      <w:pPr>
        <w:spacing w:after="240" w:line="276" w:lineRule="auto"/>
        <w:rPr>
          <w:rStyle w:val="Hipervnculo"/>
          <w:color w:val="6E6E7C"/>
          <w:sz w:val="21"/>
          <w:szCs w:val="21"/>
        </w:rPr>
      </w:pPr>
      <w:hyperlink r:id="rId27" w:history="1">
        <w:r w:rsidR="006E10E6" w:rsidRPr="006E10E6">
          <w:rPr>
            <w:rStyle w:val="Hipervnculo"/>
            <w:rFonts w:ascii="Century Gothic" w:hAnsi="Century Gothic"/>
            <w:color w:val="6E6E7C"/>
            <w:sz w:val="21"/>
            <w:szCs w:val="21"/>
          </w:rPr>
          <w:t>https://www.ecuadorencifras.gob.ec/comision-de-cuentas-economicas-y-productivas/</w:t>
        </w:r>
      </w:hyperlink>
    </w:p>
    <w:p w14:paraId="61F14DB7" w14:textId="77777777" w:rsidR="006E10E6" w:rsidRPr="006E10E6" w:rsidRDefault="006E10E6" w:rsidP="00BC517C">
      <w:pPr>
        <w:spacing w:after="240" w:line="276" w:lineRule="auto"/>
        <w:rPr>
          <w:rFonts w:ascii="Century Gothic" w:hAnsi="Century Gothic"/>
          <w:b/>
          <w:color w:val="6E6E7C"/>
          <w:sz w:val="21"/>
          <w:szCs w:val="21"/>
        </w:rPr>
      </w:pPr>
      <w:r w:rsidRPr="006E10E6">
        <w:rPr>
          <w:rFonts w:ascii="Century Gothic" w:hAnsi="Century Gothic"/>
          <w:b/>
          <w:color w:val="6E6E7C"/>
          <w:sz w:val="21"/>
          <w:szCs w:val="21"/>
        </w:rPr>
        <w:t>Registro Estadístico de Empresas</w:t>
      </w:r>
    </w:p>
    <w:p w14:paraId="013F3DC0" w14:textId="77777777" w:rsidR="006E10E6" w:rsidRPr="006E10E6" w:rsidRDefault="00746E03" w:rsidP="00BC517C">
      <w:pPr>
        <w:spacing w:after="240" w:line="276" w:lineRule="auto"/>
        <w:rPr>
          <w:rStyle w:val="Hipervnculo"/>
          <w:color w:val="6E6E7C"/>
          <w:sz w:val="21"/>
          <w:szCs w:val="21"/>
        </w:rPr>
      </w:pPr>
      <w:hyperlink r:id="rId28" w:history="1">
        <w:r w:rsidR="006E10E6" w:rsidRPr="006E10E6">
          <w:rPr>
            <w:rStyle w:val="Hipervnculo"/>
            <w:rFonts w:ascii="Century Gothic" w:hAnsi="Century Gothic"/>
            <w:color w:val="6E6E7C"/>
            <w:sz w:val="21"/>
            <w:szCs w:val="21"/>
          </w:rPr>
          <w:t>https://www.ecuadorencifras.gob.ec/directoriodeempresas/</w:t>
        </w:r>
      </w:hyperlink>
    </w:p>
    <w:p w14:paraId="7230A12D" w14:textId="77777777" w:rsidR="006E10E6" w:rsidRPr="00582936" w:rsidRDefault="006E10E6" w:rsidP="00BC517C">
      <w:pPr>
        <w:spacing w:after="240" w:line="276" w:lineRule="auto"/>
        <w:rPr>
          <w:rFonts w:ascii="Century Gothic" w:hAnsi="Century Gothic"/>
          <w:color w:val="6E6E7C"/>
        </w:rPr>
      </w:pPr>
    </w:p>
    <w:p w14:paraId="4EA41E8E" w14:textId="77777777" w:rsidR="000B6DAB" w:rsidRPr="00582936" w:rsidRDefault="000B6DAB" w:rsidP="00BC517C">
      <w:pPr>
        <w:spacing w:after="240" w:line="276" w:lineRule="auto"/>
        <w:rPr>
          <w:rFonts w:ascii="Century Gothic" w:hAnsi="Century Gothic"/>
          <w:b/>
          <w:color w:val="6E6E7C"/>
        </w:rPr>
      </w:pPr>
    </w:p>
    <w:p w14:paraId="0934FF7C" w14:textId="77777777" w:rsidR="000B6DAB" w:rsidRPr="00582936" w:rsidRDefault="000B6DAB" w:rsidP="00BC517C">
      <w:pPr>
        <w:spacing w:after="240" w:line="276" w:lineRule="auto"/>
        <w:rPr>
          <w:rFonts w:ascii="Century Gothic" w:hAnsi="Century Gothic"/>
          <w:b/>
          <w:color w:val="6E6E7C"/>
        </w:rPr>
      </w:pPr>
    </w:p>
    <w:p w14:paraId="5139FFFA" w14:textId="77777777" w:rsidR="000B6DAB" w:rsidRPr="00582936" w:rsidRDefault="000B6DAB" w:rsidP="00BC517C">
      <w:pPr>
        <w:spacing w:after="240" w:line="276" w:lineRule="auto"/>
        <w:rPr>
          <w:rFonts w:ascii="Century Gothic" w:hAnsi="Century Gothic"/>
          <w:b/>
          <w:color w:val="6E6E7C"/>
        </w:rPr>
      </w:pPr>
    </w:p>
    <w:p w14:paraId="391E020C" w14:textId="77777777" w:rsidR="00BC517C" w:rsidRPr="00582936" w:rsidRDefault="00CA0539" w:rsidP="00050627">
      <w:pPr>
        <w:pStyle w:val="Estilo1"/>
        <w:rPr>
          <w:color w:val="6E6E7C"/>
          <w:sz w:val="40"/>
          <w:szCs w:val="40"/>
        </w:rPr>
      </w:pPr>
      <w:bookmarkStart w:id="454" w:name="_Toc381774295"/>
      <w:bookmarkStart w:id="455" w:name="_Toc382901711"/>
      <w:bookmarkStart w:id="456" w:name="_Toc412998158"/>
      <w:bookmarkStart w:id="457" w:name="_Toc126658023"/>
      <w:bookmarkStart w:id="458" w:name="_Toc148617371"/>
      <w:bookmarkStart w:id="459" w:name="_Toc161322591"/>
      <w:r w:rsidRPr="00582936">
        <w:rPr>
          <w:color w:val="6E6E7C"/>
          <w:sz w:val="40"/>
          <w:szCs w:val="40"/>
        </w:rPr>
        <w:lastRenderedPageBreak/>
        <w:t>Bibliografía</w:t>
      </w:r>
      <w:bookmarkEnd w:id="454"/>
      <w:bookmarkEnd w:id="455"/>
      <w:bookmarkEnd w:id="456"/>
      <w:bookmarkEnd w:id="457"/>
      <w:bookmarkEnd w:id="458"/>
      <w:bookmarkEnd w:id="459"/>
    </w:p>
    <w:sdt>
      <w:sdtPr>
        <w:rPr>
          <w:rFonts w:ascii="Century Gothic" w:hAnsi="Century Gothic"/>
          <w:color w:val="6E6E7C"/>
        </w:rPr>
        <w:id w:val="927235548"/>
        <w:docPartObj>
          <w:docPartGallery w:val="Bibliographies"/>
          <w:docPartUnique/>
        </w:docPartObj>
      </w:sdtPr>
      <w:sdtEndPr>
        <w:rPr>
          <w:rStyle w:val="Hipervnculo"/>
          <w:sz w:val="21"/>
          <w:szCs w:val="21"/>
          <w:u w:val="single"/>
        </w:rPr>
      </w:sdtEndPr>
      <w:sdtContent>
        <w:sdt>
          <w:sdtPr>
            <w:rPr>
              <w:rStyle w:val="Hipervnculo"/>
              <w:color w:val="6E6E7C"/>
              <w:sz w:val="21"/>
              <w:szCs w:val="21"/>
              <w:u w:val="none"/>
            </w:rPr>
            <w:id w:val="111145805"/>
            <w:bibliography/>
          </w:sdtPr>
          <w:sdtEndPr>
            <w:rPr>
              <w:rStyle w:val="Hipervnculo"/>
              <w:rFonts w:ascii="Century Gothic" w:hAnsi="Century Gothic"/>
            </w:rPr>
          </w:sdtEndPr>
          <w:sdtContent>
            <w:p w14:paraId="4F41533C" w14:textId="1A5F193C" w:rsidR="006E6B3C" w:rsidRPr="006E6B3C" w:rsidRDefault="00063D2D"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fldChar w:fldCharType="begin"/>
              </w:r>
              <w:r w:rsidRPr="006E6B3C">
                <w:rPr>
                  <w:rStyle w:val="Hipervnculo"/>
                  <w:rFonts w:ascii="Century Gothic" w:hAnsi="Century Gothic"/>
                  <w:color w:val="6E6E7C"/>
                  <w:sz w:val="21"/>
                  <w:szCs w:val="21"/>
                  <w:u w:val="none"/>
                </w:rPr>
                <w:instrText xml:space="preserve"> BIBLIOGRAPHY </w:instrText>
              </w:r>
              <w:r w:rsidRPr="006E6B3C">
                <w:rPr>
                  <w:rStyle w:val="Hipervnculo"/>
                  <w:rFonts w:ascii="Century Gothic" w:hAnsi="Century Gothic"/>
                  <w:color w:val="6E6E7C"/>
                  <w:sz w:val="21"/>
                  <w:szCs w:val="21"/>
                  <w:u w:val="none"/>
                </w:rPr>
                <w:fldChar w:fldCharType="separate"/>
              </w:r>
              <w:r w:rsidR="006E6B3C" w:rsidRPr="006E6B3C">
                <w:rPr>
                  <w:rStyle w:val="Hipervnculo"/>
                  <w:rFonts w:ascii="Century Gothic" w:hAnsi="Century Gothic"/>
                  <w:color w:val="6E6E7C"/>
                  <w:sz w:val="21"/>
                  <w:szCs w:val="21"/>
                  <w:u w:val="none"/>
                </w:rPr>
                <w:t xml:space="preserve">Asenjo, Ó. D. (2012). </w:t>
              </w:r>
              <w:r w:rsidR="00661BE1" w:rsidRPr="006E6B3C">
                <w:rPr>
                  <w:rStyle w:val="Hipervnculo"/>
                  <w:rFonts w:ascii="Century Gothic" w:hAnsi="Century Gothic"/>
                  <w:color w:val="6E6E7C"/>
                  <w:sz w:val="21"/>
                  <w:szCs w:val="21"/>
                  <w:u w:val="none"/>
                </w:rPr>
                <w:t>Economía:</w:t>
              </w:r>
              <w:r w:rsidR="006E6B3C" w:rsidRPr="006E6B3C">
                <w:rPr>
                  <w:rStyle w:val="Hipervnculo"/>
                  <w:rFonts w:ascii="Century Gothic" w:hAnsi="Century Gothic"/>
                  <w:color w:val="6E6E7C"/>
                  <w:sz w:val="21"/>
                  <w:szCs w:val="21"/>
                  <w:u w:val="none"/>
                </w:rPr>
                <w:t xml:space="preserve"> fundamentos y claves de interpretación. Ediciones Pirámide.</w:t>
              </w:r>
            </w:p>
            <w:p w14:paraId="18230C93"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CEPAL. (2013). Compendio de recomendaciones técnicas y buenas prácticas para el desarrollo de los directorios de empresas y establecimientos. </w:t>
              </w:r>
            </w:p>
            <w:p w14:paraId="13A62CD6"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CEPAL. (Marzo de 2019). Caracterización de la demanda laboral en el Ecuador. Obtenido de https://repositorio.cepal.org/bitstream/handle/11362/44507/S1900116_es.pdf?sequence=1&amp;isAllowed=y</w:t>
              </w:r>
            </w:p>
            <w:p w14:paraId="6912C184" w14:textId="0F473B1E"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CRE. (2008). </w:t>
              </w:r>
              <w:r w:rsidR="00661BE1" w:rsidRPr="006E6B3C">
                <w:rPr>
                  <w:rStyle w:val="Hipervnculo"/>
                  <w:rFonts w:ascii="Century Gothic" w:hAnsi="Century Gothic"/>
                  <w:color w:val="6E6E7C"/>
                  <w:sz w:val="21"/>
                  <w:szCs w:val="21"/>
                  <w:u w:val="none"/>
                </w:rPr>
                <w:t>Constitución</w:t>
              </w:r>
              <w:r w:rsidRPr="006E6B3C">
                <w:rPr>
                  <w:rStyle w:val="Hipervnculo"/>
                  <w:rFonts w:ascii="Century Gothic" w:hAnsi="Century Gothic"/>
                  <w:color w:val="6E6E7C"/>
                  <w:sz w:val="21"/>
                  <w:szCs w:val="21"/>
                  <w:u w:val="none"/>
                </w:rPr>
                <w:t xml:space="preserve"> de la </w:t>
              </w:r>
              <w:r w:rsidR="00661BE1" w:rsidRPr="006E6B3C">
                <w:rPr>
                  <w:rStyle w:val="Hipervnculo"/>
                  <w:rFonts w:ascii="Century Gothic" w:hAnsi="Century Gothic"/>
                  <w:color w:val="6E6E7C"/>
                  <w:sz w:val="21"/>
                  <w:szCs w:val="21"/>
                  <w:u w:val="none"/>
                </w:rPr>
                <w:t>República</w:t>
              </w:r>
              <w:r w:rsidRPr="006E6B3C">
                <w:rPr>
                  <w:rStyle w:val="Hipervnculo"/>
                  <w:rFonts w:ascii="Century Gothic" w:hAnsi="Century Gothic"/>
                  <w:color w:val="6E6E7C"/>
                  <w:sz w:val="21"/>
                  <w:szCs w:val="21"/>
                  <w:u w:val="none"/>
                </w:rPr>
                <w:t xml:space="preserve"> del Ecuador. </w:t>
              </w:r>
            </w:p>
            <w:p w14:paraId="0F96D280" w14:textId="77777777" w:rsid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Dirección General del Estadística y Censos. (1957). Publicación del Primer Censo Económico del Sector Industrial 1955. Quito: Tomado del </w:t>
              </w:r>
              <w:proofErr w:type="spellStart"/>
              <w:r w:rsidRPr="006E6B3C">
                <w:rPr>
                  <w:rStyle w:val="Hipervnculo"/>
                  <w:rFonts w:ascii="Century Gothic" w:hAnsi="Century Gothic"/>
                  <w:color w:val="6E6E7C"/>
                  <w:sz w:val="21"/>
                  <w:szCs w:val="21"/>
                  <w:u w:val="none"/>
                </w:rPr>
                <w:t>respositorio</w:t>
              </w:r>
              <w:proofErr w:type="spellEnd"/>
              <w:r w:rsidRPr="006E6B3C">
                <w:rPr>
                  <w:rStyle w:val="Hipervnculo"/>
                  <w:rFonts w:ascii="Century Gothic" w:hAnsi="Century Gothic"/>
                  <w:color w:val="6E6E7C"/>
                  <w:sz w:val="21"/>
                  <w:szCs w:val="21"/>
                  <w:u w:val="none"/>
                </w:rPr>
                <w:t xml:space="preserve"> Institucional: INEC.</w:t>
              </w:r>
            </w:p>
            <w:p w14:paraId="0FF40431" w14:textId="6C96C72B" w:rsidR="001F202E" w:rsidRPr="001F202E" w:rsidRDefault="001F202E" w:rsidP="001F202E">
              <w:pPr>
                <w:pStyle w:val="Bibliografa"/>
                <w:spacing w:line="360" w:lineRule="auto"/>
                <w:ind w:left="720" w:hanging="720"/>
                <w:jc w:val="both"/>
                <w:rPr>
                  <w:rStyle w:val="Hipervnculo"/>
                  <w:rFonts w:ascii="Century Gothic" w:hAnsi="Century Gothic"/>
                  <w:color w:val="6E6E7C"/>
                  <w:sz w:val="21"/>
                  <w:szCs w:val="21"/>
                  <w:u w:val="none"/>
                </w:rPr>
              </w:pPr>
              <w:proofErr w:type="spellStart"/>
              <w:r w:rsidRPr="001F202E">
                <w:rPr>
                  <w:rStyle w:val="Hipervnculo"/>
                  <w:rFonts w:ascii="Century Gothic" w:hAnsi="Century Gothic"/>
                  <w:color w:val="6E6E7C"/>
                  <w:sz w:val="21"/>
                  <w:szCs w:val="21"/>
                  <w:u w:val="none"/>
                </w:rPr>
                <w:t>Elosegui</w:t>
              </w:r>
              <w:proofErr w:type="spellEnd"/>
              <w:r w:rsidRPr="001F202E">
                <w:rPr>
                  <w:rStyle w:val="Hipervnculo"/>
                  <w:rFonts w:ascii="Century Gothic" w:hAnsi="Century Gothic"/>
                  <w:color w:val="6E6E7C"/>
                  <w:sz w:val="21"/>
                  <w:szCs w:val="21"/>
                  <w:u w:val="none"/>
                </w:rPr>
                <w:t xml:space="preserve">, P. (2010). </w:t>
              </w:r>
              <w:r w:rsidRPr="001F202E">
                <w:rPr>
                  <w:rStyle w:val="Hipervnculo"/>
                  <w:rFonts w:ascii="Century Gothic" w:hAnsi="Century Gothic"/>
                  <w:i/>
                  <w:color w:val="6E6E7C"/>
                  <w:sz w:val="21"/>
                  <w:szCs w:val="21"/>
                  <w:u w:val="none"/>
                </w:rPr>
                <w:t>Consultoría para la planificación del Censo Nacional Económico 2010 (CENEC 2010) y el Censo de Población y Vivienda 2010 (CPV)</w:t>
              </w:r>
              <w:r w:rsidRPr="001F202E">
                <w:rPr>
                  <w:rStyle w:val="Hipervnculo"/>
                  <w:rFonts w:ascii="Century Gothic" w:hAnsi="Century Gothic"/>
                  <w:color w:val="6E6E7C"/>
                  <w:sz w:val="21"/>
                  <w:szCs w:val="21"/>
                  <w:u w:val="none"/>
                </w:rPr>
                <w:t>. Quito.</w:t>
              </w:r>
            </w:p>
            <w:p w14:paraId="6F63B8ED" w14:textId="77777777" w:rsidR="001F202E" w:rsidRPr="001F202E" w:rsidRDefault="001F202E" w:rsidP="001F202E"/>
            <w:p w14:paraId="28164168"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Fernández, A. (2009). La Contabilidad de Costos. Recuperado el 27 de 03 de 2018, de La Contabilidad de Costos: http://www.monografias.com/trabajos82/la-contabilidad-de-costos/la-contabilidad-de-costos2.shtml</w:t>
              </w:r>
            </w:p>
            <w:p w14:paraId="78D80280"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FMI. (2001). Fondo Monetario Internacional: Manual de Estadísticas Monetarias y Financieras. Recuperado el 03 de 28 de 2019, de https://www.imf.org/external/pubs/ft/mfs/manual/esl/pdf/mfsmch8s.pdf</w:t>
              </w:r>
            </w:p>
            <w:p w14:paraId="11E4F2E5"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Guajardo, P. (01 de 06 de 2019). RockContent. Recuperado el 30 de 03 de 2020, de Rock Content Internacional: https://rockcontent.com/es/blog/transformacion-digital/</w:t>
              </w:r>
            </w:p>
            <w:p w14:paraId="1747018D" w14:textId="3FED4898"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INEC. (1981). Censos Económicos, Proyecto Ecuador 1980. Quito: Tomado del </w:t>
              </w:r>
              <w:r w:rsidR="00661BE1" w:rsidRPr="006E6B3C">
                <w:rPr>
                  <w:rStyle w:val="Hipervnculo"/>
                  <w:rFonts w:ascii="Century Gothic" w:hAnsi="Century Gothic"/>
                  <w:color w:val="6E6E7C"/>
                  <w:sz w:val="21"/>
                  <w:szCs w:val="21"/>
                  <w:u w:val="none"/>
                </w:rPr>
                <w:t>repositorio</w:t>
              </w:r>
              <w:r w:rsidRPr="006E6B3C">
                <w:rPr>
                  <w:rStyle w:val="Hipervnculo"/>
                  <w:rFonts w:ascii="Century Gothic" w:hAnsi="Century Gothic"/>
                  <w:color w:val="6E6E7C"/>
                  <w:sz w:val="21"/>
                  <w:szCs w:val="21"/>
                  <w:u w:val="none"/>
                </w:rPr>
                <w:t xml:space="preserve"> Institucional: INEC.</w:t>
              </w:r>
            </w:p>
            <w:p w14:paraId="1A134735" w14:textId="5A83FD4A"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INEC. (1983). Publicación Encuesta de Manufactura </w:t>
              </w:r>
              <w:r w:rsidR="00661BE1">
                <w:rPr>
                  <w:rStyle w:val="Hipervnculo"/>
                  <w:rFonts w:ascii="Century Gothic" w:hAnsi="Century Gothic"/>
                  <w:color w:val="6E6E7C"/>
                  <w:sz w:val="21"/>
                  <w:szCs w:val="21"/>
                  <w:u w:val="none"/>
                </w:rPr>
                <w:t>y Minería. Quito: Tomado del re</w:t>
              </w:r>
              <w:r w:rsidRPr="006E6B3C">
                <w:rPr>
                  <w:rStyle w:val="Hipervnculo"/>
                  <w:rFonts w:ascii="Century Gothic" w:hAnsi="Century Gothic"/>
                  <w:color w:val="6E6E7C"/>
                  <w:sz w:val="21"/>
                  <w:szCs w:val="21"/>
                  <w:u w:val="none"/>
                </w:rPr>
                <w:t>positorio Institucional: INEC.</w:t>
              </w:r>
            </w:p>
            <w:p w14:paraId="709F6C94" w14:textId="3DCBFDDF"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INEC. (1984). Publicación Encuesta Manufactura </w:t>
              </w:r>
              <w:r w:rsidR="00661BE1">
                <w:rPr>
                  <w:rStyle w:val="Hipervnculo"/>
                  <w:rFonts w:ascii="Century Gothic" w:hAnsi="Century Gothic"/>
                  <w:color w:val="6E6E7C"/>
                  <w:sz w:val="21"/>
                  <w:szCs w:val="21"/>
                  <w:u w:val="none"/>
                </w:rPr>
                <w:t>y Minería. Quito: Tomado del re</w:t>
              </w:r>
              <w:r w:rsidRPr="006E6B3C">
                <w:rPr>
                  <w:rStyle w:val="Hipervnculo"/>
                  <w:rFonts w:ascii="Century Gothic" w:hAnsi="Century Gothic"/>
                  <w:color w:val="6E6E7C"/>
                  <w:sz w:val="21"/>
                  <w:szCs w:val="21"/>
                  <w:u w:val="none"/>
                </w:rPr>
                <w:t>positorio Institucional: INEC.</w:t>
              </w:r>
            </w:p>
            <w:p w14:paraId="2F15700A" w14:textId="3C8DC448"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INEC. (1985). Publicación: Encuesta Manufactura </w:t>
              </w:r>
              <w:r w:rsidR="00661BE1">
                <w:rPr>
                  <w:rStyle w:val="Hipervnculo"/>
                  <w:rFonts w:ascii="Century Gothic" w:hAnsi="Century Gothic"/>
                  <w:color w:val="6E6E7C"/>
                  <w:sz w:val="21"/>
                  <w:szCs w:val="21"/>
                  <w:u w:val="none"/>
                </w:rPr>
                <w:t>y Minería. Quito: Tomado del re</w:t>
              </w:r>
              <w:r w:rsidRPr="006E6B3C">
                <w:rPr>
                  <w:rStyle w:val="Hipervnculo"/>
                  <w:rFonts w:ascii="Century Gothic" w:hAnsi="Century Gothic"/>
                  <w:color w:val="6E6E7C"/>
                  <w:sz w:val="21"/>
                  <w:szCs w:val="21"/>
                  <w:u w:val="none"/>
                </w:rPr>
                <w:t>positorio Institucional: INEC.</w:t>
              </w:r>
            </w:p>
            <w:p w14:paraId="6477F64A"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(2008). Archivo Nacional de Datos y Metadatos Estadísticos (ANDA). Obtenido de Ecuador en cifras: http://anda.inec.gob.ec/anda/index.php/catalog/224</w:t>
              </w:r>
            </w:p>
            <w:p w14:paraId="693059BC"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lastRenderedPageBreak/>
                <w:t>INEC. (10 de 04 de 2011). Metodología, Conceptos y Estrategia. Quito, Ecuador.</w:t>
              </w:r>
            </w:p>
            <w:p w14:paraId="7EEF6DDD"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(2012 a). Clasificación Nacional de Actividades Económicas (CIIU-Revisión 4.0) Tomo 1. Quito: SPEEDGRAPH IMPRENTA.</w:t>
              </w:r>
            </w:p>
            <w:p w14:paraId="4256BF0E"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(6 de 2012 b). Clasificación Nacional de Ocupaciones CIUO 8. Recuperado el 15 de 4 de 2017, de http://aplicaciones2.ecuadorencifras.gob.ec/SIN/metodologias/CIUO%2008.pdf</w:t>
              </w:r>
            </w:p>
            <w:p w14:paraId="14EC5B06" w14:textId="25AFC02C"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(2015 a). Nota técnica-INEC-001: Empalme de las Encuestas Industriales 2010 y 2012 con la Encuesta Exhaustiva 2011 - Nota</w:t>
              </w:r>
              <w:r w:rsidR="00661BE1">
                <w:rPr>
                  <w:rStyle w:val="Hipervnculo"/>
                  <w:rFonts w:ascii="Century Gothic" w:hAnsi="Century Gothic"/>
                  <w:color w:val="6E6E7C"/>
                  <w:sz w:val="21"/>
                  <w:szCs w:val="21"/>
                  <w:u w:val="none"/>
                </w:rPr>
                <w:t xml:space="preserve"> </w:t>
              </w:r>
              <w:r w:rsidRPr="006E6B3C">
                <w:rPr>
                  <w:rStyle w:val="Hipervnculo"/>
                  <w:rFonts w:ascii="Century Gothic" w:hAnsi="Century Gothic"/>
                  <w:color w:val="6E6E7C"/>
                  <w:sz w:val="21"/>
                  <w:szCs w:val="21"/>
                  <w:u w:val="none"/>
                </w:rPr>
                <w:t>Técnica. Recuperado el 23 de 4 de 2019, de Encuesta de Manufactura, Minería y Construcción 2014, Tomo I, Tomo II: http://anda.inec.gob.ec/anda/index.php/catalog/519/related_materials</w:t>
              </w:r>
            </w:p>
            <w:p w14:paraId="4A6CADFA"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(1 de 5 de 2015 b). Revista de Estadística y Metodologías Tomo I. Recuperado el 22 de 4 de 2019, de http://www.ecuadorencifras.gob.ec/documentos/web-inec/Bibliotecas/Revista_Estadistica/Revista_de_Estadistica_y_Metodologias-Tomo-I.pdf</w:t>
              </w:r>
            </w:p>
            <w:p w14:paraId="465B1D85"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(2015 c). Encuesta de Manufactura y Minería "Síntesis Metodología". Recuperado el 22 de 4 de 2019, de Ecuador en cifras: http://www.ecuadorencifras.gob.ec/documentos/web-inec/Estadisticas_Economicas/Encuesta_Estructural_Empresarial/2016/Tomo_I/2016_ENESEM_Metodologia.pdf</w:t>
              </w:r>
            </w:p>
            <w:p w14:paraId="30885F05"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(1 de 11 de 2016). Revista de Estadística y Metodologías Tomo 2. Recuperado el 18 de 4 de 2019, de http://www.ecuadorencifras.gob.ec/documentos/web-inec/Bibliotecas/Revista_Estadistica/Revista_de_Estadistica_y_MetodologiasTomo-2.pdf</w:t>
              </w:r>
            </w:p>
            <w:p w14:paraId="7AB20546"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(abril de 2018). Documento Metodológico. Obtenido de http://www.ecuadorencifras.gob.ec/documentos/web-inec/Estadisticas_Economicas/Encuesta_Estructural_Empresarial/2016/Tomo_I/2016_ENESEM_Metodologia.pdf</w:t>
              </w:r>
            </w:p>
            <w:p w14:paraId="1A81530E"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(2018). Encuesta Estructural Empresarial 2016 "Metodología". Recuperado el 3 de 28 de 2019, de http://www.ecuadorencifras.gob.ec: http://www.ecuadorencifras.gob.ec/documentos/web-inec/Estadisticas_Economicas/Encuesta_Estructural_Empresarial/2016/Tomo_I/2016_ENESEM_Metodologia.pdf</w:t>
              </w:r>
            </w:p>
            <w:p w14:paraId="6E5C070A"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lastRenderedPageBreak/>
                <w:t>INEC. (05 de 02 de 2020). Comisiones. Obtenido de Comisiones Especiales de Estadística: https://www.ecuadorencifras.gob.ec/comisiones-especiales-de-estadistica/</w:t>
              </w:r>
            </w:p>
            <w:p w14:paraId="6BC36F44" w14:textId="19B6D1E4" w:rsidR="00691263" w:rsidRPr="00691263" w:rsidRDefault="006E6B3C" w:rsidP="00691263">
              <w:pPr>
                <w:pStyle w:val="Bibliografa"/>
                <w:spacing w:line="360" w:lineRule="auto"/>
                <w:ind w:left="720" w:hanging="720"/>
                <w:jc w:val="both"/>
                <w:rPr>
                  <w:rFonts w:ascii="Century Gothic" w:hAnsi="Century Gothic"/>
                  <w:color w:val="6E6E7C"/>
                  <w:sz w:val="21"/>
                  <w:szCs w:val="21"/>
                </w:rPr>
              </w:pPr>
              <w:r w:rsidRPr="006E6B3C">
                <w:rPr>
                  <w:rStyle w:val="Hipervnculo"/>
                  <w:rFonts w:ascii="Century Gothic" w:hAnsi="Century Gothic"/>
                  <w:color w:val="6E6E7C"/>
                  <w:sz w:val="21"/>
                  <w:szCs w:val="21"/>
                  <w:u w:val="none"/>
                </w:rPr>
                <w:t>INEC. (2022). Directorio de Empresas y Establecimientos 2021. https://www.ecuadorencifras.gob.ec/directoriodeempresas/.</w:t>
              </w:r>
            </w:p>
            <w:p w14:paraId="66CBA4A8"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INEC. (2022). Diseño muestral ENESEM 2022. Quito.</w:t>
              </w:r>
            </w:p>
            <w:p w14:paraId="2D78B1E0"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INEGI. (2014). Recuperado el 27 de 03 de 2018, de Metodología Censos Económicos: http://www.beta.inegi.org.mx/app/biblioteca/ficha.html?upc=702825075330</w:t>
              </w:r>
            </w:p>
            <w:p w14:paraId="0A4CA6FC"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INEGI. (2021). Estrategias de recolección de información e imputación en Encuestas Económicas. </w:t>
              </w:r>
            </w:p>
            <w:p w14:paraId="39AEC566"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INEGI. (2022). Estrategias de recolección de información e imputación en Encuestas Económicas. </w:t>
              </w:r>
            </w:p>
            <w:p w14:paraId="00D7A836" w14:textId="6625DDDB"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INEI. (2010). Instituto Nacional de Estadística e Informática. Recuperado el 12 de 04 de 2</w:t>
              </w:r>
              <w:r w:rsidR="00661BE1">
                <w:rPr>
                  <w:rStyle w:val="Hipervnculo"/>
                  <w:rFonts w:ascii="Century Gothic" w:hAnsi="Century Gothic"/>
                  <w:color w:val="6E6E7C"/>
                  <w:sz w:val="21"/>
                  <w:szCs w:val="21"/>
                  <w:u w:val="none"/>
                </w:rPr>
                <w:t>019, de Cl</w:t>
              </w:r>
              <w:r w:rsidRPr="006E6B3C">
                <w:rPr>
                  <w:rStyle w:val="Hipervnculo"/>
                  <w:rFonts w:ascii="Century Gothic" w:hAnsi="Century Gothic"/>
                  <w:color w:val="6E6E7C"/>
                  <w:sz w:val="21"/>
                  <w:szCs w:val="21"/>
                  <w:u w:val="none"/>
                </w:rPr>
                <w:t>asificación Industrial Internacional Uniforme: https://www.inei.gob.pe/media/MenuRecursivo/publicaciones_digitales/Est/Lib0883/Libro.pdf</w:t>
              </w:r>
            </w:p>
            <w:p w14:paraId="6C5CBE09" w14:textId="505FB78A"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JUNAPLA. (1969). Junta Nacional de Planificación y Coordinación: II Censo de Manufactura - Minería Volumen I.</w:t>
              </w:r>
              <w:r w:rsidR="00661BE1">
                <w:rPr>
                  <w:rStyle w:val="Hipervnculo"/>
                  <w:rFonts w:ascii="Century Gothic" w:hAnsi="Century Gothic"/>
                  <w:color w:val="6E6E7C"/>
                  <w:sz w:val="21"/>
                  <w:szCs w:val="21"/>
                  <w:u w:val="none"/>
                </w:rPr>
                <w:t xml:space="preserve"> Quito: Tomado del re</w:t>
              </w:r>
              <w:r w:rsidRPr="006E6B3C">
                <w:rPr>
                  <w:rStyle w:val="Hipervnculo"/>
                  <w:rFonts w:ascii="Century Gothic" w:hAnsi="Century Gothic"/>
                  <w:color w:val="6E6E7C"/>
                  <w:sz w:val="21"/>
                  <w:szCs w:val="21"/>
                  <w:u w:val="none"/>
                </w:rPr>
                <w:t>positorio Institucional: INEC.</w:t>
              </w:r>
            </w:p>
            <w:p w14:paraId="3CF355BC"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Lara, E. (2008). Primer curso de contabilidad. Trillas: 22a.</w:t>
              </w:r>
            </w:p>
            <w:p w14:paraId="5E2CD30E"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Ley de Estadística. (1976). Decreto Supremo 323. Obtenido de https://www.ecuadorencifras.gob.ec/LOTAIP/2015/DIJU/septiembre/LA2_SEP_DIJU_LeyEstadistica.pdf</w:t>
              </w:r>
            </w:p>
            <w:p w14:paraId="78A99E0B"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Ley de Estadística Nacional. (1976). Obtenido de https://www.bce.fin.ec/index.php/component/k2/item/348-ley-de-estad%C3%ADstica</w:t>
              </w:r>
            </w:p>
            <w:p w14:paraId="1E2103A9"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LOPDP. (2021). LEY ORGÁNICA DE PROTECCIÓN DE DATOS PERSONALES. Obtenido de https://www.finanzaspopulares.gob.ec/wp-content/uploads/2021/07/ley_organica_de_proteccion_de_datos_personales.pdf</w:t>
              </w:r>
            </w:p>
            <w:p w14:paraId="73962104"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Moya, N., &amp; Marcos, J. (1999). Control de inventarios y teoría de colas. </w:t>
              </w:r>
            </w:p>
            <w:p w14:paraId="617D8040"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OIT. (2005). Organización Internacional del Trabajo. Recuperado el 20 de 03 de 2019, de Clasificación Internacional Uniforme de Ocupaciones (CIUO): https://www.ilo.org/public/spanish/bureau/stat/isco/index.htm</w:t>
              </w:r>
            </w:p>
            <w:p w14:paraId="26AE0360"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lastRenderedPageBreak/>
                <w:t>ONU. (2008 a). Recomendaciones internacionales sobre estadísticas del comercio de distribución2008. Recuperado el 18 de 4 de 2019, de https://unstats.un.org/unsd/publication/SeriesM/Seriesm_89s.pdf</w:t>
              </w:r>
            </w:p>
            <w:p w14:paraId="7CC43178"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ONU. (2008 b). Sistema de Cuentas Nacionales. Recuperado el 17 de 4 de 2019, de https://www.cepal.org/sites/default/files/document/files/sna2008_web.pdf</w:t>
              </w:r>
            </w:p>
            <w:p w14:paraId="0DAAC042"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ONU. (2008 c). Recomendaciones internacionales para estadísticas industriales. Recuperado el 3 de 28 de 2019, de https://unstats.un.org/unsd/publication/seriesM/seriesm_90s.pdf</w:t>
              </w:r>
            </w:p>
            <w:p w14:paraId="6A9E5A99"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ONU. (2009). Clasificación Industria Uniforme (CIIU). Recuperado el 3 de 28 de 2019, de https://unstats.un.org/unsd/publication/seriesm/seriesm_4rev4s.pdf</w:t>
              </w:r>
            </w:p>
            <w:p w14:paraId="58068961" w14:textId="77777777" w:rsid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ONU. (2015). Clasificación Central de Productos (CPC), Versión 2.1. Recuperado el 10 de 04 de 2019, de https://rtc-cea.cepal.org/sites/default/files/document/files/CPC-21-p1-Trad%20espa%C3%B1ol-mar17.pdf</w:t>
              </w:r>
            </w:p>
            <w:p w14:paraId="1EA656C4" w14:textId="77777777" w:rsidR="001F202E" w:rsidRPr="001F202E" w:rsidRDefault="001F202E" w:rsidP="001F202E">
              <w:pPr>
                <w:pStyle w:val="Bibliografa"/>
                <w:ind w:left="720" w:hanging="720"/>
                <w:rPr>
                  <w:rStyle w:val="Hipervnculo"/>
                  <w:rFonts w:ascii="Century Gothic" w:hAnsi="Century Gothic"/>
                  <w:color w:val="6E6E7C"/>
                  <w:sz w:val="21"/>
                  <w:szCs w:val="21"/>
                  <w:u w:val="none"/>
                </w:rPr>
              </w:pPr>
              <w:r w:rsidRPr="001F202E">
                <w:rPr>
                  <w:rStyle w:val="Hipervnculo"/>
                  <w:rFonts w:ascii="Century Gothic" w:hAnsi="Century Gothic"/>
                  <w:color w:val="6E6E7C"/>
                  <w:sz w:val="21"/>
                  <w:szCs w:val="21"/>
                  <w:u w:val="none"/>
                </w:rPr>
                <w:t xml:space="preserve">Organización de las Naciones Unidas. (2010). </w:t>
              </w:r>
              <w:r w:rsidRPr="001F202E">
                <w:rPr>
                  <w:rStyle w:val="Hipervnculo"/>
                  <w:rFonts w:ascii="Century Gothic" w:hAnsi="Century Gothic"/>
                  <w:i/>
                  <w:color w:val="6E6E7C"/>
                  <w:sz w:val="21"/>
                  <w:szCs w:val="21"/>
                  <w:u w:val="none"/>
                </w:rPr>
                <w:t>Recomendaciones internacionales sobre estadísticas del comercio de distribución 2008</w:t>
              </w:r>
              <w:r w:rsidRPr="001F202E">
                <w:rPr>
                  <w:rStyle w:val="Hipervnculo"/>
                  <w:rFonts w:ascii="Century Gothic" w:hAnsi="Century Gothic"/>
                  <w:color w:val="6E6E7C"/>
                  <w:sz w:val="21"/>
                  <w:szCs w:val="21"/>
                  <w:u w:val="none"/>
                </w:rPr>
                <w:t>. Obtenido de https://unstats.un.org/unsd/publication/SeriesM/Seriesm_89s.pdf</w:t>
              </w:r>
            </w:p>
            <w:p w14:paraId="139A39C1" w14:textId="77777777" w:rsidR="001F202E" w:rsidRPr="001F202E" w:rsidRDefault="001F202E" w:rsidP="001F202E"/>
            <w:p w14:paraId="0DD13A5D"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Pique, R. (1978). La Problemática de la Amortización. REVISTA ESPAÑOLA DE FINANCIACIÓN Y CONTABILIDAD, 59-82.</w:t>
              </w:r>
            </w:p>
            <w:p w14:paraId="2EB8B962"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 xml:space="preserve">Porto, J. P. (2008). Definición de Costo. </w:t>
              </w:r>
            </w:p>
            <w:p w14:paraId="7FACB5E5"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t>SRI. (01 de 03 de 2017). Guía para contribuyentes formulario 101. Recuperado el 29 de 03 de 2017, de http://www.sri.gob.ec/web/guest/10094: http://www.sri.gob.ec/web/guest/10094</w:t>
              </w:r>
            </w:p>
            <w:p w14:paraId="1FCB1578" w14:textId="77777777" w:rsidR="006E6B3C" w:rsidRPr="006E6B3C" w:rsidRDefault="006E6B3C" w:rsidP="006E6B3C">
              <w:pPr>
                <w:pStyle w:val="Bibliografa"/>
                <w:spacing w:line="360" w:lineRule="auto"/>
                <w:ind w:left="720" w:hanging="720"/>
                <w:jc w:val="both"/>
                <w:rPr>
                  <w:rStyle w:val="Hipervnculo"/>
                  <w:rFonts w:ascii="Century Gothic" w:hAnsi="Century Gothic"/>
                  <w:color w:val="6E6E7C"/>
                  <w:sz w:val="21"/>
                  <w:szCs w:val="21"/>
                  <w:u w:val="none"/>
                </w:rPr>
              </w:pPr>
              <w:r w:rsidRPr="00AC73AF">
                <w:rPr>
                  <w:rStyle w:val="Hipervnculo"/>
                  <w:rFonts w:ascii="Century Gothic" w:hAnsi="Century Gothic"/>
                  <w:color w:val="6E6E7C"/>
                  <w:sz w:val="21"/>
                  <w:szCs w:val="21"/>
                  <w:u w:val="none"/>
                  <w:lang w:val="en-US"/>
                </w:rPr>
                <w:t xml:space="preserve">Valet, P., Adriaans, J., &amp; Liebig, S. (2018). Comparing survey data and administrative records on gross earnings: nonreporting, misreporting, interviewer presence and earnings inequality. </w:t>
              </w:r>
              <w:r w:rsidRPr="006E6B3C">
                <w:rPr>
                  <w:rStyle w:val="Hipervnculo"/>
                  <w:rFonts w:ascii="Century Gothic" w:hAnsi="Century Gothic"/>
                  <w:color w:val="6E6E7C"/>
                  <w:sz w:val="21"/>
                  <w:szCs w:val="21"/>
                  <w:u w:val="none"/>
                </w:rPr>
                <w:t>Quality &amp; Quantity, 471-491. doi:https://doi.org/10.1007/s11135-018-0764-z</w:t>
              </w:r>
            </w:p>
            <w:p w14:paraId="4D03590F" w14:textId="77777777" w:rsidR="00063D2D" w:rsidRPr="006E6B3C" w:rsidRDefault="00063D2D" w:rsidP="006E6B3C">
              <w:pPr>
                <w:spacing w:line="360" w:lineRule="auto"/>
                <w:jc w:val="both"/>
                <w:rPr>
                  <w:rStyle w:val="Hipervnculo"/>
                  <w:rFonts w:ascii="Century Gothic" w:hAnsi="Century Gothic"/>
                  <w:color w:val="6E6E7C"/>
                  <w:sz w:val="21"/>
                  <w:szCs w:val="21"/>
                  <w:u w:val="none"/>
                </w:rPr>
              </w:pPr>
              <w:r w:rsidRPr="006E6B3C">
                <w:rPr>
                  <w:rStyle w:val="Hipervnculo"/>
                  <w:rFonts w:ascii="Century Gothic" w:hAnsi="Century Gothic"/>
                  <w:color w:val="6E6E7C"/>
                  <w:sz w:val="21"/>
                  <w:szCs w:val="21"/>
                  <w:u w:val="none"/>
                </w:rPr>
                <w:fldChar w:fldCharType="end"/>
              </w:r>
            </w:p>
          </w:sdtContent>
        </w:sdt>
      </w:sdtContent>
    </w:sdt>
    <w:p w14:paraId="147C84B2" w14:textId="77777777" w:rsidR="00BC517C" w:rsidRPr="00582936" w:rsidRDefault="00BC517C" w:rsidP="00BC517C">
      <w:pPr>
        <w:spacing w:after="240" w:line="276" w:lineRule="auto"/>
        <w:rPr>
          <w:rFonts w:ascii="Century Gothic" w:hAnsi="Century Gothic"/>
          <w:b/>
          <w:color w:val="6E6E7C"/>
        </w:rPr>
      </w:pPr>
    </w:p>
    <w:p w14:paraId="07FB57E4" w14:textId="77777777" w:rsidR="006E10E6" w:rsidRPr="00582936" w:rsidRDefault="006E10E6" w:rsidP="006E10E6">
      <w:pPr>
        <w:pStyle w:val="Estilo1"/>
        <w:rPr>
          <w:color w:val="6E6E7C"/>
          <w:sz w:val="40"/>
          <w:szCs w:val="40"/>
        </w:rPr>
      </w:pPr>
      <w:bookmarkStart w:id="460" w:name="_Toc381774296"/>
      <w:bookmarkStart w:id="461" w:name="_Toc382901712"/>
      <w:bookmarkStart w:id="462" w:name="_Toc412998159"/>
      <w:bookmarkStart w:id="463" w:name="_Toc126658024"/>
      <w:bookmarkStart w:id="464" w:name="_Toc148617372"/>
      <w:bookmarkStart w:id="465" w:name="_Toc161322592"/>
      <w:r>
        <w:rPr>
          <w:noProof/>
          <w:lang w:eastAsia="es-EC"/>
        </w:rPr>
        <w:lastRenderedPageBreak/>
        <mc:AlternateContent>
          <mc:Choice Requires="wps">
            <w:drawing>
              <wp:anchor distT="0" distB="0" distL="114300" distR="114300" simplePos="0" relativeHeight="251751424" behindDoc="0" locked="0" layoutInCell="1" allowOverlap="1" wp14:anchorId="65646D2A" wp14:editId="58BCCDFB">
                <wp:simplePos x="0" y="0"/>
                <wp:positionH relativeFrom="margin">
                  <wp:posOffset>-135182</wp:posOffset>
                </wp:positionH>
                <wp:positionV relativeFrom="paragraph">
                  <wp:posOffset>464052</wp:posOffset>
                </wp:positionV>
                <wp:extent cx="5241290" cy="635"/>
                <wp:effectExtent l="0" t="0" r="0" b="8255"/>
                <wp:wrapSquare wrapText="bothSides"/>
                <wp:docPr id="23" name="Cuadro de texto 23"/>
                <wp:cNvGraphicFramePr/>
                <a:graphic xmlns:a="http://schemas.openxmlformats.org/drawingml/2006/main">
                  <a:graphicData uri="http://schemas.microsoft.com/office/word/2010/wordprocessingShape">
                    <wps:wsp>
                      <wps:cNvSpPr txBox="1"/>
                      <wps:spPr>
                        <a:xfrm>
                          <a:off x="0" y="0"/>
                          <a:ext cx="5241290" cy="635"/>
                        </a:xfrm>
                        <a:prstGeom prst="rect">
                          <a:avLst/>
                        </a:prstGeom>
                        <a:solidFill>
                          <a:prstClr val="white"/>
                        </a:solidFill>
                        <a:ln>
                          <a:noFill/>
                        </a:ln>
                        <a:effectLst/>
                      </wps:spPr>
                      <wps:txbx>
                        <w:txbxContent>
                          <w:p w14:paraId="5B25C790" w14:textId="77777777" w:rsidR="00746E03" w:rsidRPr="00D0786A" w:rsidRDefault="00746E03" w:rsidP="006E10E6">
                            <w:pPr>
                              <w:pStyle w:val="Descripcin"/>
                              <w:rPr>
                                <w:rFonts w:ascii="Century Gothic" w:hAnsi="Century Gothic"/>
                                <w:b w:val="0"/>
                                <w:bCs w:val="0"/>
                                <w:color w:val="767171" w:themeColor="background2" w:themeShade="80"/>
                              </w:rPr>
                            </w:pPr>
                            <w:bookmarkStart w:id="466" w:name="_Toc157585893"/>
                            <w:bookmarkStart w:id="467" w:name="_Toc157671149"/>
                            <w:bookmarkStart w:id="468" w:name="_Toc158206895"/>
                            <w:bookmarkStart w:id="469" w:name="_Toc161322610"/>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1</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Guía del usuario informante - INFOCAPT</w:t>
                            </w:r>
                            <w:bookmarkEnd w:id="466"/>
                            <w:bookmarkEnd w:id="467"/>
                            <w:bookmarkEnd w:id="468"/>
                            <w:bookmarkEnd w:id="4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646D2A" id="Cuadro de texto 23" o:spid="_x0000_s1066" type="#_x0000_t202" style="position:absolute;left:0;text-align:left;margin-left:-10.65pt;margin-top:36.55pt;width:412.7pt;height:.05pt;z-index:25175142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" stroked="f">
                <v:textbox style="mso-fit-shape-to-text:t" inset="0,0,0,0">
                  <w:txbxContent>
                    <w:p w14:paraId="5B25C790" w14:textId="77777777" w:rsidR="00746E03" w:rsidRPr="00D0786A" w:rsidRDefault="00746E03" w:rsidP="006E10E6">
                      <w:pPr>
                        <w:pStyle w:val="Descripcin"/>
                        <w:rPr>
                          <w:rFonts w:ascii="Century Gothic" w:hAnsi="Century Gothic"/>
                          <w:b w:val="0"/>
                          <w:bCs w:val="0"/>
                          <w:color w:val="767171" w:themeColor="background2" w:themeShade="80"/>
                        </w:rPr>
                      </w:pPr>
                      <w:bookmarkStart w:id="470" w:name="_Toc157585893"/>
                      <w:bookmarkStart w:id="471" w:name="_Toc157671149"/>
                      <w:bookmarkStart w:id="472" w:name="_Toc158206895"/>
                      <w:bookmarkStart w:id="473" w:name="_Toc161322610"/>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1</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Guía del usuario informante - INFOCAPT</w:t>
                      </w:r>
                      <w:bookmarkEnd w:id="470"/>
                      <w:bookmarkEnd w:id="471"/>
                      <w:bookmarkEnd w:id="472"/>
                      <w:bookmarkEnd w:id="473"/>
                    </w:p>
                  </w:txbxContent>
                </v:textbox>
                <w10:wrap type="square" anchorx="margin"/>
              </v:shape>
            </w:pict>
          </mc:Fallback>
        </mc:AlternateContent>
      </w:r>
      <w:r w:rsidRPr="00582936">
        <w:rPr>
          <w:color w:val="6E6E7C"/>
          <w:sz w:val="40"/>
          <w:szCs w:val="40"/>
        </w:rPr>
        <w:t>Anexos</w:t>
      </w:r>
      <w:bookmarkEnd w:id="460"/>
      <w:bookmarkEnd w:id="461"/>
      <w:bookmarkEnd w:id="462"/>
      <w:bookmarkEnd w:id="463"/>
      <w:bookmarkEnd w:id="464"/>
      <w:bookmarkEnd w:id="465"/>
    </w:p>
    <w:p w14:paraId="50677448" w14:textId="77777777" w:rsidR="006E10E6" w:rsidRPr="00582936" w:rsidRDefault="006E10E6" w:rsidP="006E10E6">
      <w:pPr>
        <w:spacing w:after="240" w:line="276" w:lineRule="auto"/>
        <w:jc w:val="both"/>
        <w:rPr>
          <w:rFonts w:ascii="Century Gothic" w:hAnsi="Century Gothic"/>
          <w:color w:val="6E6E7C"/>
          <w:sz w:val="18"/>
        </w:rPr>
      </w:pPr>
      <w:r>
        <w:rPr>
          <w:noProof/>
          <w:lang w:eastAsia="es-EC"/>
        </w:rPr>
        <w:drawing>
          <wp:anchor distT="0" distB="0" distL="114300" distR="114300" simplePos="0" relativeHeight="251748352" behindDoc="0" locked="0" layoutInCell="1" allowOverlap="1" wp14:anchorId="5E36FB56" wp14:editId="7E54F452">
            <wp:simplePos x="0" y="0"/>
            <wp:positionH relativeFrom="column">
              <wp:posOffset>88900</wp:posOffset>
            </wp:positionH>
            <wp:positionV relativeFrom="paragraph">
              <wp:posOffset>445770</wp:posOffset>
            </wp:positionV>
            <wp:extent cx="5241290" cy="6942455"/>
            <wp:effectExtent l="0" t="0" r="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241290" cy="6942455"/>
                    </a:xfrm>
                    <a:prstGeom prst="rect">
                      <a:avLst/>
                    </a:prstGeom>
                  </pic:spPr>
                </pic:pic>
              </a:graphicData>
            </a:graphic>
            <wp14:sizeRelH relativeFrom="margin">
              <wp14:pctWidth>0</wp14:pctWidth>
            </wp14:sizeRelH>
            <wp14:sizeRelV relativeFrom="margin">
              <wp14:pctHeight>0</wp14:pctHeight>
            </wp14:sizeRelV>
          </wp:anchor>
        </w:drawing>
      </w:r>
    </w:p>
    <w:p w14:paraId="2BE4DFAD" w14:textId="77777777" w:rsidR="006E10E6" w:rsidRPr="00582936" w:rsidRDefault="006E10E6" w:rsidP="006E10E6">
      <w:pPr>
        <w:spacing w:after="240" w:line="276" w:lineRule="auto"/>
        <w:jc w:val="both"/>
        <w:rPr>
          <w:rFonts w:ascii="Century Gothic" w:hAnsi="Century Gothic"/>
          <w:color w:val="6E6E7C"/>
          <w:sz w:val="18"/>
        </w:rPr>
      </w:pPr>
    </w:p>
    <w:p w14:paraId="0665AA72" w14:textId="77777777" w:rsidR="006E10E6" w:rsidRDefault="006E10E6" w:rsidP="006E10E6">
      <w:pPr>
        <w:spacing w:after="240" w:line="276" w:lineRule="auto"/>
        <w:jc w:val="both"/>
        <w:rPr>
          <w:rFonts w:ascii="Century Gothic" w:hAnsi="Century Gothic"/>
          <w:color w:val="6E6E7C"/>
          <w:sz w:val="18"/>
        </w:rPr>
      </w:pPr>
    </w:p>
    <w:p w14:paraId="05488C8B" w14:textId="77777777" w:rsidR="006E10E6" w:rsidRDefault="006E10E6" w:rsidP="006E10E6">
      <w:pPr>
        <w:spacing w:after="240" w:line="276" w:lineRule="auto"/>
        <w:jc w:val="both"/>
        <w:rPr>
          <w:rFonts w:ascii="Century Gothic" w:hAnsi="Century Gothic"/>
          <w:color w:val="6E6E7C"/>
          <w:sz w:val="18"/>
        </w:rPr>
      </w:pPr>
    </w:p>
    <w:p w14:paraId="4B445BA8" w14:textId="77777777" w:rsidR="006E10E6" w:rsidRPr="00582936" w:rsidRDefault="006E10E6" w:rsidP="006E10E6">
      <w:pPr>
        <w:spacing w:after="240" w:line="276" w:lineRule="auto"/>
        <w:jc w:val="both"/>
        <w:rPr>
          <w:rFonts w:ascii="Century Gothic" w:hAnsi="Century Gothic"/>
          <w:color w:val="6E6E7C"/>
          <w:sz w:val="18"/>
        </w:rPr>
      </w:pPr>
      <w:r>
        <w:rPr>
          <w:noProof/>
          <w:lang w:eastAsia="es-EC"/>
        </w:rPr>
        <w:lastRenderedPageBreak/>
        <mc:AlternateContent>
          <mc:Choice Requires="wps">
            <w:drawing>
              <wp:anchor distT="0" distB="0" distL="114300" distR="114300" simplePos="0" relativeHeight="251752448" behindDoc="0" locked="0" layoutInCell="1" allowOverlap="1" wp14:anchorId="1C2DE514" wp14:editId="27B9EA56">
                <wp:simplePos x="0" y="0"/>
                <wp:positionH relativeFrom="column">
                  <wp:posOffset>-76879</wp:posOffset>
                </wp:positionH>
                <wp:positionV relativeFrom="paragraph">
                  <wp:posOffset>177224</wp:posOffset>
                </wp:positionV>
                <wp:extent cx="5133975" cy="635"/>
                <wp:effectExtent l="0" t="0" r="0" b="0"/>
                <wp:wrapSquare wrapText="bothSides"/>
                <wp:docPr id="24" name="Cuadro de texto 24"/>
                <wp:cNvGraphicFramePr/>
                <a:graphic xmlns:a="http://schemas.openxmlformats.org/drawingml/2006/main">
                  <a:graphicData uri="http://schemas.microsoft.com/office/word/2010/wordprocessingShape">
                    <wps:wsp>
                      <wps:cNvSpPr txBox="1"/>
                      <wps:spPr>
                        <a:xfrm>
                          <a:off x="0" y="0"/>
                          <a:ext cx="5133975" cy="635"/>
                        </a:xfrm>
                        <a:prstGeom prst="rect">
                          <a:avLst/>
                        </a:prstGeom>
                        <a:solidFill>
                          <a:prstClr val="white"/>
                        </a:solidFill>
                        <a:ln>
                          <a:noFill/>
                        </a:ln>
                        <a:effectLst/>
                      </wps:spPr>
                      <wps:txbx>
                        <w:txbxContent>
                          <w:p w14:paraId="046AF194" w14:textId="77777777" w:rsidR="00746E03" w:rsidRPr="00D0786A" w:rsidRDefault="00746E03" w:rsidP="006E10E6">
                            <w:pPr>
                              <w:pStyle w:val="Descripcin"/>
                              <w:rPr>
                                <w:rFonts w:ascii="Century Gothic" w:hAnsi="Century Gothic"/>
                                <w:b w:val="0"/>
                                <w:bCs w:val="0"/>
                                <w:color w:val="767171" w:themeColor="background2" w:themeShade="80"/>
                              </w:rPr>
                            </w:pPr>
                            <w:bookmarkStart w:id="474" w:name="_Toc157585894"/>
                            <w:bookmarkStart w:id="475" w:name="_Toc157671150"/>
                            <w:bookmarkStart w:id="476" w:name="_Toc158206896"/>
                            <w:bookmarkStart w:id="477" w:name="_Toc161322611"/>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2</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Interfaz del Sistema INFOCAPT – Módulo de administración</w:t>
                            </w:r>
                            <w:bookmarkEnd w:id="474"/>
                            <w:bookmarkEnd w:id="475"/>
                            <w:bookmarkEnd w:id="476"/>
                            <w:bookmarkEnd w:id="4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2DE514" id="Cuadro de texto 24" o:spid="_x0000_s1067" type="#_x0000_t202" style="position:absolute;left:0;text-align:left;margin-left:-6.05pt;margin-top:13.95pt;width:404.25pt;height:.0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" stroked="f">
                <v:textbox style="mso-fit-shape-to-text:t" inset="0,0,0,0">
                  <w:txbxContent>
                    <w:p w14:paraId="046AF194" w14:textId="77777777" w:rsidR="00746E03" w:rsidRPr="00D0786A" w:rsidRDefault="00746E03" w:rsidP="006E10E6">
                      <w:pPr>
                        <w:pStyle w:val="Descripcin"/>
                        <w:rPr>
                          <w:rFonts w:ascii="Century Gothic" w:hAnsi="Century Gothic"/>
                          <w:b w:val="0"/>
                          <w:bCs w:val="0"/>
                          <w:color w:val="767171" w:themeColor="background2" w:themeShade="80"/>
                        </w:rPr>
                      </w:pPr>
                      <w:bookmarkStart w:id="478" w:name="_Toc157585894"/>
                      <w:bookmarkStart w:id="479" w:name="_Toc157671150"/>
                      <w:bookmarkStart w:id="480" w:name="_Toc158206896"/>
                      <w:bookmarkStart w:id="481" w:name="_Toc161322611"/>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2</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Interfaz del Sistema INFOCAPT – Módulo de administración</w:t>
                      </w:r>
                      <w:bookmarkEnd w:id="478"/>
                      <w:bookmarkEnd w:id="479"/>
                      <w:bookmarkEnd w:id="480"/>
                      <w:bookmarkEnd w:id="481"/>
                    </w:p>
                  </w:txbxContent>
                </v:textbox>
                <w10:wrap type="square"/>
              </v:shape>
            </w:pict>
          </mc:Fallback>
        </mc:AlternateContent>
      </w:r>
    </w:p>
    <w:p w14:paraId="187D077D" w14:textId="77777777" w:rsidR="006E10E6" w:rsidRPr="00582936" w:rsidRDefault="006E10E6" w:rsidP="006E10E6">
      <w:pPr>
        <w:pStyle w:val="Descripcin"/>
        <w:jc w:val="left"/>
        <w:rPr>
          <w:rFonts w:ascii="Century Gothic" w:eastAsiaTheme="majorEastAsia" w:hAnsi="Century Gothic" w:cs="Arial"/>
          <w:b w:val="0"/>
          <w:color w:val="6E6E7C"/>
          <w:sz w:val="20"/>
          <w:szCs w:val="16"/>
          <w:lang w:eastAsia="es-EC"/>
        </w:rPr>
      </w:pPr>
      <w:bookmarkStart w:id="482" w:name="_Toc128467625"/>
      <w:r w:rsidRPr="00582936">
        <w:rPr>
          <w:rFonts w:ascii="Century Gothic" w:eastAsiaTheme="majorEastAsia" w:hAnsi="Century Gothic" w:cs="Arial"/>
          <w:noProof/>
          <w:color w:val="6E6E7C"/>
          <w:sz w:val="20"/>
          <w:szCs w:val="16"/>
          <w:lang w:eastAsia="es-EC"/>
        </w:rPr>
        <w:drawing>
          <wp:anchor distT="0" distB="0" distL="114300" distR="114300" simplePos="0" relativeHeight="251741184" behindDoc="0" locked="0" layoutInCell="1" allowOverlap="1" wp14:anchorId="225FB651" wp14:editId="4CE2096E">
            <wp:simplePos x="0" y="0"/>
            <wp:positionH relativeFrom="margin">
              <wp:align>right</wp:align>
            </wp:positionH>
            <wp:positionV relativeFrom="paragraph">
              <wp:posOffset>330436</wp:posOffset>
            </wp:positionV>
            <wp:extent cx="5133975" cy="3080656"/>
            <wp:effectExtent l="19050" t="19050" r="9525" b="24765"/>
            <wp:wrapSquare wrapText="bothSides"/>
            <wp:docPr id="3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84B189.tmp"/>
                    <pic:cNvPicPr/>
                  </pic:nvPicPr>
                  <pic:blipFill>
                    <a:blip r:embed="rId30">
                      <a:extLst>
                        <a:ext uri="{28A0092B-C50C-407E-A947-70E740481C1C}">
                          <a14:useLocalDpi xmlns:a14="http://schemas.microsoft.com/office/drawing/2010/main" val="0"/>
                        </a:ext>
                      </a:extLst>
                    </a:blip>
                    <a:stretch>
                      <a:fillRect/>
                    </a:stretch>
                  </pic:blipFill>
                  <pic:spPr>
                    <a:xfrm>
                      <a:off x="0" y="0"/>
                      <a:ext cx="5133975" cy="3080656"/>
                    </a:xfrm>
                    <a:prstGeom prst="rect">
                      <a:avLst/>
                    </a:prstGeom>
                    <a:ln>
                      <a:solidFill>
                        <a:schemeClr val="accent5">
                          <a:lumMod val="50000"/>
                        </a:schemeClr>
                      </a:solidFill>
                    </a:ln>
                  </pic:spPr>
                </pic:pic>
              </a:graphicData>
            </a:graphic>
          </wp:anchor>
        </w:drawing>
      </w:r>
      <w:bookmarkEnd w:id="482"/>
    </w:p>
    <w:p w14:paraId="0F94F684" w14:textId="77777777" w:rsidR="006E10E6" w:rsidRPr="00582936" w:rsidRDefault="006E10E6" w:rsidP="002022CC">
      <w:pPr>
        <w:pStyle w:val="TDC2"/>
        <w:rPr>
          <w:lang w:eastAsia="es-EC"/>
        </w:rPr>
      </w:pPr>
      <w:r w:rsidRPr="00582936">
        <w:rPr>
          <w:noProof/>
          <w:lang w:eastAsia="es-EC"/>
        </w:rPr>
        <w:drawing>
          <wp:anchor distT="0" distB="0" distL="114300" distR="114300" simplePos="0" relativeHeight="251747328" behindDoc="0" locked="0" layoutInCell="1" allowOverlap="1" wp14:anchorId="1690B028" wp14:editId="47C2B749">
            <wp:simplePos x="0" y="0"/>
            <wp:positionH relativeFrom="margin">
              <wp:align>right</wp:align>
            </wp:positionH>
            <wp:positionV relativeFrom="paragraph">
              <wp:posOffset>3487183</wp:posOffset>
            </wp:positionV>
            <wp:extent cx="5191125" cy="3531599"/>
            <wp:effectExtent l="19050" t="19050" r="9525" b="12065"/>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28A0092B-C50C-407E-A947-70E740481C1C}">
                          <a14:useLocalDpi xmlns:a14="http://schemas.microsoft.com/office/drawing/2010/main" val="0"/>
                        </a:ext>
                      </a:extLst>
                    </a:blip>
                    <a:srcRect l="19299" t="27440" r="32969" b="39595"/>
                    <a:stretch/>
                  </pic:blipFill>
                  <pic:spPr bwMode="auto">
                    <a:xfrm>
                      <a:off x="0" y="0"/>
                      <a:ext cx="5191125" cy="3531599"/>
                    </a:xfrm>
                    <a:prstGeom prst="rect">
                      <a:avLst/>
                    </a:prstGeom>
                    <a:ln>
                      <a:solidFill>
                        <a:schemeClr val="accent5">
                          <a:lumMod val="50000"/>
                        </a:schemeClr>
                      </a:solidFill>
                    </a:ln>
                    <a:extLst>
                      <a:ext uri="{53640926-AAD7-44D8-BBD7-CCE9431645EC}">
                        <a14:shadowObscured xmlns:a14="http://schemas.microsoft.com/office/drawing/2010/main"/>
                      </a:ext>
                    </a:extLst>
                  </pic:spPr>
                </pic:pic>
              </a:graphicData>
            </a:graphic>
          </wp:anchor>
        </w:drawing>
      </w:r>
    </w:p>
    <w:p w14:paraId="60C1F0F4" w14:textId="77777777" w:rsidR="006E10E6" w:rsidRPr="00582936" w:rsidRDefault="006E10E6" w:rsidP="006E10E6">
      <w:pPr>
        <w:spacing w:after="240" w:line="276" w:lineRule="auto"/>
        <w:jc w:val="both"/>
        <w:rPr>
          <w:rFonts w:ascii="Century Gothic" w:hAnsi="Century Gothic"/>
          <w:color w:val="6E6E7C"/>
          <w:sz w:val="18"/>
        </w:rPr>
      </w:pPr>
    </w:p>
    <w:p w14:paraId="0B45BA07" w14:textId="77777777" w:rsidR="006E10E6" w:rsidRPr="00582936" w:rsidRDefault="006E10E6" w:rsidP="006E10E6">
      <w:pPr>
        <w:spacing w:after="240" w:line="276" w:lineRule="auto"/>
        <w:jc w:val="both"/>
        <w:rPr>
          <w:rFonts w:ascii="Century Gothic" w:hAnsi="Century Gothic"/>
          <w:color w:val="6E6E7C"/>
          <w:sz w:val="18"/>
        </w:rPr>
      </w:pPr>
    </w:p>
    <w:p w14:paraId="0CFE5BEA" w14:textId="77777777" w:rsidR="006E10E6" w:rsidRPr="00582936" w:rsidRDefault="006E10E6" w:rsidP="006E10E6">
      <w:pPr>
        <w:rPr>
          <w:rFonts w:ascii="Century Gothic" w:hAnsi="Century Gothic"/>
          <w:color w:val="6E6E7C"/>
          <w:sz w:val="44"/>
          <w:szCs w:val="44"/>
        </w:rPr>
      </w:pPr>
    </w:p>
    <w:p w14:paraId="1518CA6C" w14:textId="77777777" w:rsidR="006E10E6" w:rsidRPr="00582936" w:rsidRDefault="006E10E6" w:rsidP="006E10E6">
      <w:pPr>
        <w:rPr>
          <w:rFonts w:ascii="Century Gothic" w:hAnsi="Century Gothic"/>
          <w:color w:val="6E6E7C"/>
          <w:sz w:val="44"/>
          <w:szCs w:val="44"/>
        </w:rPr>
      </w:pPr>
      <w:r>
        <w:rPr>
          <w:noProof/>
          <w:lang w:eastAsia="es-EC"/>
        </w:rPr>
        <w:lastRenderedPageBreak/>
        <mc:AlternateContent>
          <mc:Choice Requires="wps">
            <w:drawing>
              <wp:anchor distT="0" distB="0" distL="114300" distR="114300" simplePos="0" relativeHeight="251753472" behindDoc="0" locked="0" layoutInCell="1" allowOverlap="1" wp14:anchorId="13FE53AC" wp14:editId="1EDCB365">
                <wp:simplePos x="0" y="0"/>
                <wp:positionH relativeFrom="margin">
                  <wp:posOffset>-177888</wp:posOffset>
                </wp:positionH>
                <wp:positionV relativeFrom="paragraph">
                  <wp:posOffset>15</wp:posOffset>
                </wp:positionV>
                <wp:extent cx="5368925" cy="635"/>
                <wp:effectExtent l="0" t="0" r="3175" b="8255"/>
                <wp:wrapSquare wrapText="bothSides"/>
                <wp:docPr id="25" name="Cuadro de texto 25"/>
                <wp:cNvGraphicFramePr/>
                <a:graphic xmlns:a="http://schemas.openxmlformats.org/drawingml/2006/main">
                  <a:graphicData uri="http://schemas.microsoft.com/office/word/2010/wordprocessingShape">
                    <wps:wsp>
                      <wps:cNvSpPr txBox="1"/>
                      <wps:spPr>
                        <a:xfrm>
                          <a:off x="0" y="0"/>
                          <a:ext cx="5368925" cy="635"/>
                        </a:xfrm>
                        <a:prstGeom prst="rect">
                          <a:avLst/>
                        </a:prstGeom>
                        <a:solidFill>
                          <a:prstClr val="white"/>
                        </a:solidFill>
                        <a:ln>
                          <a:noFill/>
                        </a:ln>
                        <a:effectLst/>
                      </wps:spPr>
                      <wps:txbx>
                        <w:txbxContent>
                          <w:p w14:paraId="614AF854" w14:textId="77777777" w:rsidR="00746E03" w:rsidRPr="00D0786A" w:rsidRDefault="00746E03" w:rsidP="006E10E6">
                            <w:pPr>
                              <w:pStyle w:val="Descripcin"/>
                              <w:rPr>
                                <w:rFonts w:ascii="Century Gothic" w:hAnsi="Century Gothic"/>
                                <w:b w:val="0"/>
                                <w:bCs w:val="0"/>
                                <w:color w:val="767171" w:themeColor="background2" w:themeShade="80"/>
                              </w:rPr>
                            </w:pPr>
                            <w:bookmarkStart w:id="483" w:name="_Toc157585895"/>
                            <w:bookmarkStart w:id="484" w:name="_Toc157671151"/>
                            <w:bookmarkStart w:id="485" w:name="_Toc158206897"/>
                            <w:bookmarkStart w:id="486" w:name="_Toc161322612"/>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3</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Manual del entrevistador crítica y codificación.</w:t>
                            </w:r>
                            <w:bookmarkEnd w:id="483"/>
                            <w:bookmarkEnd w:id="484"/>
                            <w:bookmarkEnd w:id="485"/>
                            <w:bookmarkEnd w:id="4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FE53AC" id="Cuadro de texto 25" o:spid="_x0000_s1068" type="#_x0000_t202" style="position:absolute;margin-left:-14pt;margin-top:0;width:422.75pt;height:.05pt;z-index:25175347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" stroked="f">
                <v:textbox style="mso-fit-shape-to-text:t" inset="0,0,0,0">
                  <w:txbxContent>
                    <w:p w14:paraId="614AF854" w14:textId="77777777" w:rsidR="00746E03" w:rsidRPr="00D0786A" w:rsidRDefault="00746E03" w:rsidP="006E10E6">
                      <w:pPr>
                        <w:pStyle w:val="Descripcin"/>
                        <w:rPr>
                          <w:rFonts w:ascii="Century Gothic" w:hAnsi="Century Gothic"/>
                          <w:b w:val="0"/>
                          <w:bCs w:val="0"/>
                          <w:color w:val="767171" w:themeColor="background2" w:themeShade="80"/>
                        </w:rPr>
                      </w:pPr>
                      <w:bookmarkStart w:id="487" w:name="_Toc157585895"/>
                      <w:bookmarkStart w:id="488" w:name="_Toc157671151"/>
                      <w:bookmarkStart w:id="489" w:name="_Toc158206897"/>
                      <w:bookmarkStart w:id="490" w:name="_Toc161322612"/>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3</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Manual del entrevistador crítica y codificación.</w:t>
                      </w:r>
                      <w:bookmarkEnd w:id="487"/>
                      <w:bookmarkEnd w:id="488"/>
                      <w:bookmarkEnd w:id="489"/>
                      <w:bookmarkEnd w:id="490"/>
                    </w:p>
                  </w:txbxContent>
                </v:textbox>
                <w10:wrap type="square" anchorx="margin"/>
              </v:shape>
            </w:pict>
          </mc:Fallback>
        </mc:AlternateContent>
      </w:r>
      <w:r>
        <w:rPr>
          <w:noProof/>
          <w:lang w:eastAsia="es-EC"/>
        </w:rPr>
        <w:drawing>
          <wp:anchor distT="0" distB="0" distL="114300" distR="114300" simplePos="0" relativeHeight="251749376" behindDoc="0" locked="0" layoutInCell="1" allowOverlap="1" wp14:anchorId="13DAEF3A" wp14:editId="51184D20">
            <wp:simplePos x="0" y="0"/>
            <wp:positionH relativeFrom="margin">
              <wp:align>left</wp:align>
            </wp:positionH>
            <wp:positionV relativeFrom="paragraph">
              <wp:posOffset>471096</wp:posOffset>
            </wp:positionV>
            <wp:extent cx="5368925" cy="6910705"/>
            <wp:effectExtent l="0" t="0" r="3175" b="4445"/>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368925" cy="6910705"/>
                    </a:xfrm>
                    <a:prstGeom prst="rect">
                      <a:avLst/>
                    </a:prstGeom>
                  </pic:spPr>
                </pic:pic>
              </a:graphicData>
            </a:graphic>
            <wp14:sizeRelH relativeFrom="margin">
              <wp14:pctWidth>0</wp14:pctWidth>
            </wp14:sizeRelH>
            <wp14:sizeRelV relativeFrom="margin">
              <wp14:pctHeight>0</wp14:pctHeight>
            </wp14:sizeRelV>
          </wp:anchor>
        </w:drawing>
      </w:r>
    </w:p>
    <w:p w14:paraId="731A3D5D" w14:textId="77777777" w:rsidR="006E10E6" w:rsidRPr="00582936" w:rsidRDefault="006E10E6" w:rsidP="006E10E6">
      <w:pPr>
        <w:rPr>
          <w:rFonts w:ascii="Century Gothic" w:hAnsi="Century Gothic"/>
          <w:color w:val="6E6E7C"/>
          <w:sz w:val="44"/>
          <w:szCs w:val="44"/>
        </w:rPr>
      </w:pPr>
    </w:p>
    <w:p w14:paraId="50B11876" w14:textId="77777777" w:rsidR="006E10E6" w:rsidRPr="00582936" w:rsidRDefault="006E10E6" w:rsidP="006E10E6">
      <w:pPr>
        <w:rPr>
          <w:rFonts w:ascii="Century Gothic" w:hAnsi="Century Gothic"/>
          <w:color w:val="6E6E7C"/>
          <w:sz w:val="44"/>
          <w:szCs w:val="44"/>
        </w:rPr>
      </w:pPr>
    </w:p>
    <w:p w14:paraId="3504547D" w14:textId="77777777" w:rsidR="006E10E6" w:rsidRPr="00582936" w:rsidRDefault="006E10E6" w:rsidP="006E10E6">
      <w:pPr>
        <w:rPr>
          <w:rFonts w:ascii="Century Gothic" w:hAnsi="Century Gothic"/>
          <w:color w:val="6E6E7C"/>
          <w:sz w:val="44"/>
          <w:szCs w:val="44"/>
        </w:rPr>
      </w:pPr>
    </w:p>
    <w:p w14:paraId="022A0F4A" w14:textId="77777777" w:rsidR="006E10E6" w:rsidRPr="00582936" w:rsidRDefault="006E10E6" w:rsidP="006E10E6">
      <w:pPr>
        <w:rPr>
          <w:rFonts w:ascii="Century Gothic" w:hAnsi="Century Gothic"/>
          <w:color w:val="6E6E7C"/>
          <w:sz w:val="44"/>
          <w:szCs w:val="44"/>
        </w:rPr>
      </w:pPr>
      <w:r>
        <w:rPr>
          <w:noProof/>
          <w:lang w:eastAsia="es-EC"/>
        </w:rPr>
        <w:lastRenderedPageBreak/>
        <w:drawing>
          <wp:anchor distT="0" distB="0" distL="114300" distR="114300" simplePos="0" relativeHeight="251756544" behindDoc="0" locked="0" layoutInCell="1" allowOverlap="1" wp14:anchorId="2C53A249" wp14:editId="1F85A64F">
            <wp:simplePos x="0" y="0"/>
            <wp:positionH relativeFrom="margin">
              <wp:align>right</wp:align>
            </wp:positionH>
            <wp:positionV relativeFrom="paragraph">
              <wp:posOffset>6191959</wp:posOffset>
            </wp:positionV>
            <wp:extent cx="5394988" cy="2317898"/>
            <wp:effectExtent l="0" t="0" r="0" b="6350"/>
            <wp:wrapSquare wrapText="bothSides"/>
            <wp:docPr id="18" name="Imagen 18" descr="A blue and white sheet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A blue and white sheet of paper&#10;&#10;Description automatically generated"/>
                    <pic:cNvPicPr/>
                  </pic:nvPicPr>
                  <pic:blipFill rotWithShape="1">
                    <a:blip r:embed="rId33">
                      <a:extLst>
                        <a:ext uri="{28A0092B-C50C-407E-A947-70E740481C1C}">
                          <a14:useLocalDpi xmlns:a14="http://schemas.microsoft.com/office/drawing/2010/main" val="0"/>
                        </a:ext>
                      </a:extLst>
                    </a:blip>
                    <a:srcRect b="34603"/>
                    <a:stretch/>
                  </pic:blipFill>
                  <pic:spPr bwMode="auto">
                    <a:xfrm>
                      <a:off x="0" y="0"/>
                      <a:ext cx="5394988" cy="23178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EC"/>
        </w:rPr>
        <mc:AlternateContent>
          <mc:Choice Requires="wps">
            <w:drawing>
              <wp:anchor distT="0" distB="0" distL="114300" distR="114300" simplePos="0" relativeHeight="251755520" behindDoc="0" locked="0" layoutInCell="1" allowOverlap="1" wp14:anchorId="6549EBBB" wp14:editId="5FE54644">
                <wp:simplePos x="0" y="0"/>
                <wp:positionH relativeFrom="margin">
                  <wp:posOffset>-159489</wp:posOffset>
                </wp:positionH>
                <wp:positionV relativeFrom="paragraph">
                  <wp:posOffset>428</wp:posOffset>
                </wp:positionV>
                <wp:extent cx="5396230" cy="635"/>
                <wp:effectExtent l="0" t="0" r="0" b="8255"/>
                <wp:wrapSquare wrapText="bothSides"/>
                <wp:docPr id="26" name="Cuadro de texto 26"/>
                <wp:cNvGraphicFramePr/>
                <a:graphic xmlns:a="http://schemas.openxmlformats.org/drawingml/2006/main">
                  <a:graphicData uri="http://schemas.microsoft.com/office/word/2010/wordprocessingShape">
                    <wps:wsp>
                      <wps:cNvSpPr txBox="1"/>
                      <wps:spPr>
                        <a:xfrm>
                          <a:off x="0" y="0"/>
                          <a:ext cx="5396230" cy="635"/>
                        </a:xfrm>
                        <a:prstGeom prst="rect">
                          <a:avLst/>
                        </a:prstGeom>
                        <a:solidFill>
                          <a:prstClr val="white"/>
                        </a:solidFill>
                        <a:ln>
                          <a:noFill/>
                        </a:ln>
                        <a:effectLst/>
                      </wps:spPr>
                      <wps:txbx>
                        <w:txbxContent>
                          <w:p w14:paraId="01D27B5E" w14:textId="77777777" w:rsidR="00746E03" w:rsidRPr="00D0786A" w:rsidRDefault="00746E03" w:rsidP="006E10E6">
                            <w:pPr>
                              <w:pStyle w:val="Descripcin"/>
                              <w:rPr>
                                <w:rFonts w:ascii="Century Gothic" w:hAnsi="Century Gothic"/>
                                <w:b w:val="0"/>
                                <w:bCs w:val="0"/>
                                <w:color w:val="767171" w:themeColor="background2" w:themeShade="80"/>
                              </w:rPr>
                            </w:pPr>
                            <w:bookmarkStart w:id="491" w:name="_Toc157585896"/>
                            <w:bookmarkStart w:id="492" w:name="_Toc157671152"/>
                            <w:bookmarkStart w:id="493" w:name="_Toc158206898"/>
                            <w:bookmarkStart w:id="494" w:name="_Toc161322613"/>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4</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Formulario de seguimiento de las Operaciones de Campo</w:t>
                            </w:r>
                            <w:bookmarkEnd w:id="491"/>
                            <w:bookmarkEnd w:id="492"/>
                            <w:bookmarkEnd w:id="493"/>
                            <w:bookmarkEnd w:id="49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49EBBB" id="Cuadro de texto 26" o:spid="_x0000_s1069" type="#_x0000_t202" style="position:absolute;margin-left:-12.55pt;margin-top:.05pt;width:424.9pt;height:.05pt;z-index:2517555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" stroked="f">
                <v:textbox style="mso-fit-shape-to-text:t" inset="0,0,0,0">
                  <w:txbxContent>
                    <w:p w14:paraId="01D27B5E" w14:textId="77777777" w:rsidR="00746E03" w:rsidRPr="00D0786A" w:rsidRDefault="00746E03" w:rsidP="006E10E6">
                      <w:pPr>
                        <w:pStyle w:val="Descripcin"/>
                        <w:rPr>
                          <w:rFonts w:ascii="Century Gothic" w:hAnsi="Century Gothic"/>
                          <w:b w:val="0"/>
                          <w:bCs w:val="0"/>
                          <w:color w:val="767171" w:themeColor="background2" w:themeShade="80"/>
                        </w:rPr>
                      </w:pPr>
                      <w:bookmarkStart w:id="495" w:name="_Toc157585896"/>
                      <w:bookmarkStart w:id="496" w:name="_Toc157671152"/>
                      <w:bookmarkStart w:id="497" w:name="_Toc158206898"/>
                      <w:bookmarkStart w:id="498" w:name="_Toc161322613"/>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4</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Formulario de seguimiento de las Operaciones de Campo</w:t>
                      </w:r>
                      <w:bookmarkEnd w:id="495"/>
                      <w:bookmarkEnd w:id="496"/>
                      <w:bookmarkEnd w:id="497"/>
                      <w:bookmarkEnd w:id="498"/>
                    </w:p>
                  </w:txbxContent>
                </v:textbox>
                <w10:wrap type="square" anchorx="margin"/>
              </v:shape>
            </w:pict>
          </mc:Fallback>
        </mc:AlternateContent>
      </w:r>
      <w:r>
        <w:rPr>
          <w:noProof/>
          <w:lang w:eastAsia="es-EC"/>
        </w:rPr>
        <w:drawing>
          <wp:anchor distT="0" distB="0" distL="114300" distR="114300" simplePos="0" relativeHeight="251754496" behindDoc="0" locked="0" layoutInCell="1" allowOverlap="1" wp14:anchorId="79C576AA" wp14:editId="27666167">
            <wp:simplePos x="0" y="0"/>
            <wp:positionH relativeFrom="margin">
              <wp:align>left</wp:align>
            </wp:positionH>
            <wp:positionV relativeFrom="paragraph">
              <wp:posOffset>364844</wp:posOffset>
            </wp:positionV>
            <wp:extent cx="5396230" cy="5940425"/>
            <wp:effectExtent l="0" t="0" r="0" b="3175"/>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396230" cy="5940425"/>
                    </a:xfrm>
                    <a:prstGeom prst="rect">
                      <a:avLst/>
                    </a:prstGeom>
                  </pic:spPr>
                </pic:pic>
              </a:graphicData>
            </a:graphic>
          </wp:anchor>
        </w:drawing>
      </w:r>
    </w:p>
    <w:p w14:paraId="22992F20" w14:textId="77777777" w:rsidR="006E10E6" w:rsidRPr="00E51852" w:rsidRDefault="00E51852" w:rsidP="00E51852">
      <w:pPr>
        <w:pStyle w:val="Descripcin"/>
        <w:rPr>
          <w:rFonts w:ascii="Century Gothic" w:hAnsi="Century Gothic"/>
          <w:b w:val="0"/>
          <w:bCs w:val="0"/>
          <w:color w:val="767171" w:themeColor="background2" w:themeShade="80"/>
        </w:rPr>
      </w:pPr>
      <w:bookmarkStart w:id="499" w:name="_Toc157671153"/>
      <w:bookmarkStart w:id="500" w:name="_Toc158206899"/>
      <w:bookmarkStart w:id="501" w:name="_Toc161322614"/>
      <w:r w:rsidRPr="00E51852">
        <w:rPr>
          <w:rFonts w:ascii="Century Gothic" w:hAnsi="Century Gothic"/>
          <w:bCs w:val="0"/>
          <w:noProof/>
          <w:color w:val="767171" w:themeColor="background2" w:themeShade="80"/>
          <w:lang w:eastAsia="es-EC"/>
        </w:rPr>
        <w:lastRenderedPageBreak/>
        <w:drawing>
          <wp:anchor distT="0" distB="0" distL="114300" distR="114300" simplePos="0" relativeHeight="251762688" behindDoc="0" locked="0" layoutInCell="1" allowOverlap="1" wp14:anchorId="1DB379D2" wp14:editId="0955391F">
            <wp:simplePos x="0" y="0"/>
            <wp:positionH relativeFrom="column">
              <wp:posOffset>-3810</wp:posOffset>
            </wp:positionH>
            <wp:positionV relativeFrom="paragraph">
              <wp:posOffset>395605</wp:posOffset>
            </wp:positionV>
            <wp:extent cx="5181600" cy="6086475"/>
            <wp:effectExtent l="0" t="0" r="0" b="9525"/>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181600" cy="6086475"/>
                    </a:xfrm>
                    <a:prstGeom prst="rect">
                      <a:avLst/>
                    </a:prstGeom>
                  </pic:spPr>
                </pic:pic>
              </a:graphicData>
            </a:graphic>
          </wp:anchor>
        </w:drawing>
      </w:r>
      <w:r w:rsidRPr="00E51852">
        <w:rPr>
          <w:rFonts w:ascii="Century Gothic" w:hAnsi="Century Gothic"/>
          <w:bCs w:val="0"/>
          <w:color w:val="767171" w:themeColor="background2" w:themeShade="80"/>
        </w:rPr>
        <w:t xml:space="preserve">Anexo </w:t>
      </w:r>
      <w:r w:rsidRPr="00E51852">
        <w:rPr>
          <w:rFonts w:ascii="Century Gothic" w:hAnsi="Century Gothic"/>
          <w:bCs w:val="0"/>
          <w:color w:val="767171" w:themeColor="background2" w:themeShade="80"/>
        </w:rPr>
        <w:fldChar w:fldCharType="begin"/>
      </w:r>
      <w:r w:rsidRPr="00E51852">
        <w:rPr>
          <w:rFonts w:ascii="Century Gothic" w:hAnsi="Century Gothic"/>
          <w:bCs w:val="0"/>
          <w:color w:val="767171" w:themeColor="background2" w:themeShade="80"/>
        </w:rPr>
        <w:instrText xml:space="preserve"> SEQ Anexo \* ARABIC </w:instrText>
      </w:r>
      <w:r w:rsidRPr="00E51852">
        <w:rPr>
          <w:rFonts w:ascii="Century Gothic" w:hAnsi="Century Gothic"/>
          <w:bCs w:val="0"/>
          <w:color w:val="767171" w:themeColor="background2" w:themeShade="80"/>
        </w:rPr>
        <w:fldChar w:fldCharType="separate"/>
      </w:r>
      <w:r w:rsidR="005E61B6">
        <w:rPr>
          <w:rFonts w:ascii="Century Gothic" w:hAnsi="Century Gothic"/>
          <w:bCs w:val="0"/>
          <w:noProof/>
          <w:color w:val="767171" w:themeColor="background2" w:themeShade="80"/>
        </w:rPr>
        <w:t>5</w:t>
      </w:r>
      <w:r w:rsidRPr="00E51852">
        <w:rPr>
          <w:rFonts w:ascii="Century Gothic" w:hAnsi="Century Gothic"/>
          <w:bCs w:val="0"/>
          <w:color w:val="767171" w:themeColor="background2" w:themeShade="80"/>
        </w:rPr>
        <w:fldChar w:fldCharType="end"/>
      </w:r>
      <w:r w:rsidRPr="00E51852">
        <w:rPr>
          <w:rFonts w:ascii="Century Gothic" w:hAnsi="Century Gothic"/>
          <w:bCs w:val="0"/>
          <w:color w:val="767171" w:themeColor="background2" w:themeShade="80"/>
        </w:rPr>
        <w:t>.</w:t>
      </w:r>
      <w:r w:rsidRPr="00E51852">
        <w:rPr>
          <w:rFonts w:ascii="Century Gothic" w:hAnsi="Century Gothic"/>
          <w:b w:val="0"/>
          <w:bCs w:val="0"/>
          <w:color w:val="767171" w:themeColor="background2" w:themeShade="80"/>
        </w:rPr>
        <w:t xml:space="preserve"> Script de Encuestadores</w:t>
      </w:r>
      <w:bookmarkEnd w:id="499"/>
      <w:bookmarkEnd w:id="500"/>
      <w:bookmarkEnd w:id="501"/>
    </w:p>
    <w:p w14:paraId="69B19CAA" w14:textId="77777777" w:rsidR="006E10E6" w:rsidRPr="00582936" w:rsidRDefault="006E10E6" w:rsidP="006E10E6">
      <w:pPr>
        <w:rPr>
          <w:rFonts w:ascii="Century Gothic" w:hAnsi="Century Gothic"/>
          <w:color w:val="6E6E7C"/>
          <w:sz w:val="44"/>
          <w:szCs w:val="44"/>
        </w:rPr>
      </w:pPr>
    </w:p>
    <w:p w14:paraId="5DD425E2" w14:textId="77777777" w:rsidR="006E10E6" w:rsidRPr="00582936" w:rsidRDefault="006E10E6" w:rsidP="006E10E6">
      <w:pPr>
        <w:rPr>
          <w:rFonts w:ascii="Century Gothic" w:hAnsi="Century Gothic"/>
          <w:color w:val="6E6E7C"/>
          <w:sz w:val="44"/>
          <w:szCs w:val="44"/>
        </w:rPr>
      </w:pPr>
    </w:p>
    <w:p w14:paraId="2EBE402B" w14:textId="77777777" w:rsidR="006E10E6" w:rsidRPr="00582936" w:rsidRDefault="006E10E6" w:rsidP="006E10E6">
      <w:pPr>
        <w:rPr>
          <w:rFonts w:ascii="Century Gothic" w:hAnsi="Century Gothic"/>
          <w:color w:val="6E6E7C"/>
          <w:sz w:val="44"/>
          <w:szCs w:val="44"/>
        </w:rPr>
      </w:pPr>
      <w:r>
        <w:rPr>
          <w:noProof/>
          <w:lang w:eastAsia="es-EC"/>
        </w:rPr>
        <w:lastRenderedPageBreak/>
        <w:drawing>
          <wp:anchor distT="0" distB="0" distL="114300" distR="114300" simplePos="0" relativeHeight="251750400" behindDoc="0" locked="0" layoutInCell="1" allowOverlap="1" wp14:anchorId="257D06D9" wp14:editId="487C693B">
            <wp:simplePos x="0" y="0"/>
            <wp:positionH relativeFrom="margin">
              <wp:align>left</wp:align>
            </wp:positionH>
            <wp:positionV relativeFrom="paragraph">
              <wp:posOffset>492760</wp:posOffset>
            </wp:positionV>
            <wp:extent cx="5358765" cy="7559675"/>
            <wp:effectExtent l="0" t="0" r="0" b="3175"/>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362135" cy="7564503"/>
                    </a:xfrm>
                    <a:prstGeom prst="rect">
                      <a:avLst/>
                    </a:prstGeom>
                  </pic:spPr>
                </pic:pic>
              </a:graphicData>
            </a:graphic>
            <wp14:sizeRelH relativeFrom="margin">
              <wp14:pctWidth>0</wp14:pctWidth>
            </wp14:sizeRelH>
            <wp14:sizeRelV relativeFrom="margin">
              <wp14:pctHeight>0</wp14:pctHeight>
            </wp14:sizeRelV>
          </wp:anchor>
        </w:drawing>
      </w:r>
      <w:r w:rsidRPr="00582936">
        <w:rPr>
          <w:rFonts w:ascii="Century Gothic" w:hAnsi="Century Gothic"/>
          <w:noProof/>
          <w:color w:val="6E6E7C"/>
          <w:lang w:eastAsia="es-EC"/>
        </w:rPr>
        <mc:AlternateContent>
          <mc:Choice Requires="wps">
            <w:drawing>
              <wp:anchor distT="0" distB="0" distL="114300" distR="114300" simplePos="0" relativeHeight="251745280" behindDoc="0" locked="0" layoutInCell="1" allowOverlap="1" wp14:anchorId="67DDD153" wp14:editId="43B455A3">
                <wp:simplePos x="0" y="0"/>
                <wp:positionH relativeFrom="margin">
                  <wp:posOffset>243713</wp:posOffset>
                </wp:positionH>
                <wp:positionV relativeFrom="paragraph">
                  <wp:posOffset>133858</wp:posOffset>
                </wp:positionV>
                <wp:extent cx="4752975" cy="635"/>
                <wp:effectExtent l="0" t="0" r="9525" b="8255"/>
                <wp:wrapSquare wrapText="bothSides"/>
                <wp:docPr id="1574249049" name="Cuadro de texto 1574249049"/>
                <wp:cNvGraphicFramePr/>
                <a:graphic xmlns:a="http://schemas.openxmlformats.org/drawingml/2006/main">
                  <a:graphicData uri="http://schemas.microsoft.com/office/word/2010/wordprocessingShape">
                    <wps:wsp>
                      <wps:cNvSpPr txBox="1"/>
                      <wps:spPr>
                        <a:xfrm>
                          <a:off x="0" y="0"/>
                          <a:ext cx="4752975" cy="635"/>
                        </a:xfrm>
                        <a:prstGeom prst="rect">
                          <a:avLst/>
                        </a:prstGeom>
                        <a:solidFill>
                          <a:prstClr val="white"/>
                        </a:solidFill>
                        <a:ln>
                          <a:noFill/>
                        </a:ln>
                        <a:effectLst/>
                      </wps:spPr>
                      <wps:txbx>
                        <w:txbxContent>
                          <w:p w14:paraId="0759D1B3" w14:textId="77777777" w:rsidR="00746E03" w:rsidRPr="003A7254" w:rsidRDefault="00746E03" w:rsidP="006E10E6">
                            <w:pPr>
                              <w:pStyle w:val="Descripcin"/>
                              <w:rPr>
                                <w:rFonts w:ascii="Century Gothic" w:hAnsi="Century Gothic"/>
                                <w:noProof/>
                                <w:color w:val="767171" w:themeColor="background2" w:themeShade="80"/>
                                <w:sz w:val="24"/>
                                <w:szCs w:val="24"/>
                              </w:rPr>
                            </w:pPr>
                            <w:bookmarkStart w:id="502" w:name="_Toc157007183"/>
                            <w:bookmarkStart w:id="503" w:name="_Toc157585898"/>
                            <w:bookmarkStart w:id="504" w:name="_Toc157671154"/>
                            <w:bookmarkStart w:id="505" w:name="_Toc158206900"/>
                            <w:bookmarkStart w:id="506" w:name="_Toc161322615"/>
                            <w:r w:rsidRPr="003A7254">
                              <w:rPr>
                                <w:rFonts w:ascii="Century Gothic" w:hAnsi="Century Gothic"/>
                                <w:color w:val="767171" w:themeColor="background2" w:themeShade="80"/>
                              </w:rPr>
                              <w:t xml:space="preserve">Anexo </w:t>
                            </w:r>
                            <w:r w:rsidRPr="003A7254">
                              <w:rPr>
                                <w:rFonts w:ascii="Century Gothic" w:hAnsi="Century Gothic"/>
                                <w:color w:val="767171" w:themeColor="background2" w:themeShade="80"/>
                              </w:rPr>
                              <w:fldChar w:fldCharType="begin"/>
                            </w:r>
                            <w:r w:rsidRPr="003A7254">
                              <w:rPr>
                                <w:rFonts w:ascii="Century Gothic" w:hAnsi="Century Gothic"/>
                                <w:color w:val="767171" w:themeColor="background2" w:themeShade="80"/>
                              </w:rPr>
                              <w:instrText xml:space="preserve"> SEQ Anexo \* ARABIC </w:instrText>
                            </w:r>
                            <w:r w:rsidRPr="003A7254">
                              <w:rPr>
                                <w:rFonts w:ascii="Century Gothic" w:hAnsi="Century Gothic"/>
                                <w:color w:val="767171" w:themeColor="background2" w:themeShade="80"/>
                              </w:rPr>
                              <w:fldChar w:fldCharType="separate"/>
                            </w:r>
                            <w:r>
                              <w:rPr>
                                <w:rFonts w:ascii="Century Gothic" w:hAnsi="Century Gothic"/>
                                <w:noProof/>
                                <w:color w:val="767171" w:themeColor="background2" w:themeShade="80"/>
                              </w:rPr>
                              <w:t>6</w:t>
                            </w:r>
                            <w:r w:rsidRPr="003A7254">
                              <w:rPr>
                                <w:rFonts w:ascii="Century Gothic" w:hAnsi="Century Gothic"/>
                                <w:color w:val="767171" w:themeColor="background2" w:themeShade="80"/>
                              </w:rPr>
                              <w:fldChar w:fldCharType="end"/>
                            </w:r>
                            <w:r w:rsidRPr="003A7254">
                              <w:rPr>
                                <w:rFonts w:ascii="Century Gothic" w:hAnsi="Century Gothic"/>
                                <w:color w:val="767171" w:themeColor="background2" w:themeShade="80"/>
                              </w:rPr>
                              <w:t xml:space="preserve">. </w:t>
                            </w:r>
                            <w:r>
                              <w:rPr>
                                <w:rFonts w:ascii="Century Gothic" w:hAnsi="Century Gothic"/>
                                <w:b w:val="0"/>
                                <w:bCs w:val="0"/>
                                <w:color w:val="767171" w:themeColor="background2" w:themeShade="80"/>
                              </w:rPr>
                              <w:t xml:space="preserve">Oficio ENESEM </w:t>
                            </w:r>
                            <w:r w:rsidRPr="003A7254">
                              <w:rPr>
                                <w:rFonts w:ascii="Century Gothic" w:hAnsi="Century Gothic"/>
                                <w:b w:val="0"/>
                                <w:bCs w:val="0"/>
                                <w:color w:val="767171" w:themeColor="background2" w:themeShade="80"/>
                              </w:rPr>
                              <w:t>2022</w:t>
                            </w:r>
                            <w:bookmarkEnd w:id="502"/>
                            <w:bookmarkEnd w:id="503"/>
                            <w:bookmarkEnd w:id="504"/>
                            <w:bookmarkEnd w:id="505"/>
                            <w:bookmarkEnd w:id="5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DDD153" id="Cuadro de texto 1574249049" o:spid="_x0000_s1070" type="#_x0000_t202" style="position:absolute;margin-left:19.2pt;margin-top:10.55pt;width:374.25pt;height:.05pt;z-index:25174528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" stroked="f">
                <v:textbox style="mso-fit-shape-to-text:t" inset="0,0,0,0">
                  <w:txbxContent>
                    <w:p w14:paraId="0759D1B3" w14:textId="77777777" w:rsidR="00746E03" w:rsidRPr="003A7254" w:rsidRDefault="00746E03" w:rsidP="006E10E6">
                      <w:pPr>
                        <w:pStyle w:val="Descripcin"/>
                        <w:rPr>
                          <w:rFonts w:ascii="Century Gothic" w:hAnsi="Century Gothic"/>
                          <w:noProof/>
                          <w:color w:val="767171" w:themeColor="background2" w:themeShade="80"/>
                          <w:sz w:val="24"/>
                          <w:szCs w:val="24"/>
                        </w:rPr>
                      </w:pPr>
                      <w:bookmarkStart w:id="507" w:name="_Toc157007183"/>
                      <w:bookmarkStart w:id="508" w:name="_Toc157585898"/>
                      <w:bookmarkStart w:id="509" w:name="_Toc157671154"/>
                      <w:bookmarkStart w:id="510" w:name="_Toc158206900"/>
                      <w:bookmarkStart w:id="511" w:name="_Toc161322615"/>
                      <w:r w:rsidRPr="003A7254">
                        <w:rPr>
                          <w:rFonts w:ascii="Century Gothic" w:hAnsi="Century Gothic"/>
                          <w:color w:val="767171" w:themeColor="background2" w:themeShade="80"/>
                        </w:rPr>
                        <w:t xml:space="preserve">Anexo </w:t>
                      </w:r>
                      <w:r w:rsidRPr="003A7254">
                        <w:rPr>
                          <w:rFonts w:ascii="Century Gothic" w:hAnsi="Century Gothic"/>
                          <w:color w:val="767171" w:themeColor="background2" w:themeShade="80"/>
                        </w:rPr>
                        <w:fldChar w:fldCharType="begin"/>
                      </w:r>
                      <w:r w:rsidRPr="003A7254">
                        <w:rPr>
                          <w:rFonts w:ascii="Century Gothic" w:hAnsi="Century Gothic"/>
                          <w:color w:val="767171" w:themeColor="background2" w:themeShade="80"/>
                        </w:rPr>
                        <w:instrText xml:space="preserve"> SEQ Anexo \* ARABIC </w:instrText>
                      </w:r>
                      <w:r w:rsidRPr="003A7254">
                        <w:rPr>
                          <w:rFonts w:ascii="Century Gothic" w:hAnsi="Century Gothic"/>
                          <w:color w:val="767171" w:themeColor="background2" w:themeShade="80"/>
                        </w:rPr>
                        <w:fldChar w:fldCharType="separate"/>
                      </w:r>
                      <w:r>
                        <w:rPr>
                          <w:rFonts w:ascii="Century Gothic" w:hAnsi="Century Gothic"/>
                          <w:noProof/>
                          <w:color w:val="767171" w:themeColor="background2" w:themeShade="80"/>
                        </w:rPr>
                        <w:t>6</w:t>
                      </w:r>
                      <w:r w:rsidRPr="003A7254">
                        <w:rPr>
                          <w:rFonts w:ascii="Century Gothic" w:hAnsi="Century Gothic"/>
                          <w:color w:val="767171" w:themeColor="background2" w:themeShade="80"/>
                        </w:rPr>
                        <w:fldChar w:fldCharType="end"/>
                      </w:r>
                      <w:r w:rsidRPr="003A7254">
                        <w:rPr>
                          <w:rFonts w:ascii="Century Gothic" w:hAnsi="Century Gothic"/>
                          <w:color w:val="767171" w:themeColor="background2" w:themeShade="80"/>
                        </w:rPr>
                        <w:t xml:space="preserve">. </w:t>
                      </w:r>
                      <w:r>
                        <w:rPr>
                          <w:rFonts w:ascii="Century Gothic" w:hAnsi="Century Gothic"/>
                          <w:b w:val="0"/>
                          <w:bCs w:val="0"/>
                          <w:color w:val="767171" w:themeColor="background2" w:themeShade="80"/>
                        </w:rPr>
                        <w:t xml:space="preserve">Oficio ENESEM </w:t>
                      </w:r>
                      <w:r w:rsidRPr="003A7254">
                        <w:rPr>
                          <w:rFonts w:ascii="Century Gothic" w:hAnsi="Century Gothic"/>
                          <w:b w:val="0"/>
                          <w:bCs w:val="0"/>
                          <w:color w:val="767171" w:themeColor="background2" w:themeShade="80"/>
                        </w:rPr>
                        <w:t>2022</w:t>
                      </w:r>
                      <w:bookmarkEnd w:id="507"/>
                      <w:bookmarkEnd w:id="508"/>
                      <w:bookmarkEnd w:id="509"/>
                      <w:bookmarkEnd w:id="510"/>
                      <w:bookmarkEnd w:id="511"/>
                    </w:p>
                  </w:txbxContent>
                </v:textbox>
                <w10:wrap type="square" anchorx="margin"/>
              </v:shape>
            </w:pict>
          </mc:Fallback>
        </mc:AlternateContent>
      </w:r>
    </w:p>
    <w:p w14:paraId="53B08F21" w14:textId="77777777" w:rsidR="006E10E6" w:rsidRDefault="006E10E6" w:rsidP="006E10E6">
      <w:pPr>
        <w:rPr>
          <w:rFonts w:ascii="Century Gothic" w:eastAsiaTheme="majorEastAsia" w:hAnsi="Century Gothic" w:cs="Arial"/>
          <w:b/>
          <w:color w:val="6E6E7C"/>
          <w:sz w:val="20"/>
          <w:szCs w:val="20"/>
          <w:lang w:eastAsia="es-EC"/>
        </w:rPr>
      </w:pPr>
    </w:p>
    <w:p w14:paraId="376FD934" w14:textId="77777777" w:rsidR="006E10E6" w:rsidRDefault="006E10E6" w:rsidP="006E10E6">
      <w:pPr>
        <w:rPr>
          <w:rFonts w:ascii="Century Gothic" w:eastAsiaTheme="majorEastAsia" w:hAnsi="Century Gothic" w:cs="Arial"/>
          <w:b/>
          <w:color w:val="6E6E7C"/>
          <w:sz w:val="20"/>
          <w:szCs w:val="20"/>
          <w:lang w:eastAsia="es-EC"/>
        </w:rPr>
      </w:pPr>
    </w:p>
    <w:p w14:paraId="58EC6F2A" w14:textId="77777777" w:rsidR="006E10E6" w:rsidRDefault="006E10E6" w:rsidP="006E10E6">
      <w:pPr>
        <w:rPr>
          <w:rFonts w:ascii="Century Gothic" w:eastAsiaTheme="majorEastAsia" w:hAnsi="Century Gothic" w:cs="Arial"/>
          <w:b/>
          <w:color w:val="6E6E7C"/>
          <w:sz w:val="20"/>
          <w:szCs w:val="20"/>
          <w:lang w:eastAsia="es-EC"/>
        </w:rPr>
      </w:pPr>
    </w:p>
    <w:p w14:paraId="01717ED8" w14:textId="77777777" w:rsidR="006E10E6" w:rsidRDefault="006E10E6" w:rsidP="006E10E6">
      <w:pPr>
        <w:rPr>
          <w:rFonts w:ascii="Century Gothic" w:eastAsiaTheme="majorEastAsia" w:hAnsi="Century Gothic" w:cs="Arial"/>
          <w:b/>
          <w:color w:val="6E6E7C"/>
          <w:sz w:val="20"/>
          <w:szCs w:val="20"/>
          <w:lang w:eastAsia="es-EC"/>
        </w:rPr>
      </w:pPr>
    </w:p>
    <w:p w14:paraId="7A1BDD1C" w14:textId="77777777" w:rsidR="006E10E6" w:rsidRDefault="006E10E6" w:rsidP="006E10E6">
      <w:pPr>
        <w:rPr>
          <w:rFonts w:ascii="Century Gothic" w:eastAsiaTheme="majorEastAsia" w:hAnsi="Century Gothic" w:cs="Arial"/>
          <w:b/>
          <w:color w:val="6E6E7C"/>
          <w:sz w:val="20"/>
          <w:szCs w:val="20"/>
          <w:lang w:eastAsia="es-EC"/>
        </w:rPr>
      </w:pPr>
    </w:p>
    <w:p w14:paraId="19FE87AB" w14:textId="77777777" w:rsidR="006E10E6" w:rsidRPr="00582936" w:rsidRDefault="0088423F" w:rsidP="006E10E6">
      <w:pPr>
        <w:rPr>
          <w:rFonts w:ascii="Century Gothic" w:hAnsi="Century Gothic"/>
          <w:color w:val="6E6E7C"/>
          <w:sz w:val="44"/>
          <w:szCs w:val="44"/>
        </w:rPr>
      </w:pPr>
      <w:r w:rsidRPr="00582936">
        <w:rPr>
          <w:rFonts w:ascii="Century Gothic" w:hAnsi="Century Gothic"/>
          <w:noProof/>
          <w:color w:val="6E6E7C"/>
          <w:lang w:eastAsia="es-EC"/>
        </w:rPr>
        <w:lastRenderedPageBreak/>
        <w:drawing>
          <wp:anchor distT="0" distB="0" distL="114300" distR="114300" simplePos="0" relativeHeight="251743232" behindDoc="0" locked="0" layoutInCell="1" allowOverlap="1" wp14:anchorId="78462B0C" wp14:editId="36EE6D96">
            <wp:simplePos x="0" y="0"/>
            <wp:positionH relativeFrom="margin">
              <wp:align>center</wp:align>
            </wp:positionH>
            <wp:positionV relativeFrom="paragraph">
              <wp:posOffset>429260</wp:posOffset>
            </wp:positionV>
            <wp:extent cx="5154930" cy="6794500"/>
            <wp:effectExtent l="0" t="0" r="7620" b="6350"/>
            <wp:wrapSquare wrapText="bothSides"/>
            <wp:docPr id="1574249042" name="Imagen 157424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154930" cy="6794500"/>
                    </a:xfrm>
                    <a:prstGeom prst="rect">
                      <a:avLst/>
                    </a:prstGeom>
                  </pic:spPr>
                </pic:pic>
              </a:graphicData>
            </a:graphic>
            <wp14:sizeRelH relativeFrom="margin">
              <wp14:pctWidth>0</wp14:pctWidth>
            </wp14:sizeRelH>
            <wp14:sizeRelV relativeFrom="margin">
              <wp14:pctHeight>0</wp14:pctHeight>
            </wp14:sizeRelV>
          </wp:anchor>
        </w:drawing>
      </w:r>
      <w:r w:rsidRPr="00582936">
        <w:rPr>
          <w:rFonts w:ascii="Century Gothic" w:hAnsi="Century Gothic"/>
          <w:noProof/>
          <w:color w:val="6E6E7C"/>
          <w:lang w:eastAsia="es-EC"/>
        </w:rPr>
        <mc:AlternateContent>
          <mc:Choice Requires="wps">
            <w:drawing>
              <wp:anchor distT="0" distB="0" distL="114300" distR="114300" simplePos="0" relativeHeight="251746304" behindDoc="0" locked="0" layoutInCell="1" allowOverlap="1" wp14:anchorId="73EEE1A4" wp14:editId="2E533BBA">
                <wp:simplePos x="0" y="0"/>
                <wp:positionH relativeFrom="margin">
                  <wp:align>left</wp:align>
                </wp:positionH>
                <wp:positionV relativeFrom="paragraph">
                  <wp:posOffset>0</wp:posOffset>
                </wp:positionV>
                <wp:extent cx="5154930" cy="635"/>
                <wp:effectExtent l="0" t="0" r="7620" b="0"/>
                <wp:wrapSquare wrapText="bothSides"/>
                <wp:docPr id="1574249050" name="Cuadro de texto 1574249050"/>
                <wp:cNvGraphicFramePr/>
                <a:graphic xmlns:a="http://schemas.openxmlformats.org/drawingml/2006/main">
                  <a:graphicData uri="http://schemas.microsoft.com/office/word/2010/wordprocessingShape">
                    <wps:wsp>
                      <wps:cNvSpPr txBox="1"/>
                      <wps:spPr>
                        <a:xfrm>
                          <a:off x="0" y="0"/>
                          <a:ext cx="5154930" cy="635"/>
                        </a:xfrm>
                        <a:prstGeom prst="rect">
                          <a:avLst/>
                        </a:prstGeom>
                        <a:solidFill>
                          <a:prstClr val="white"/>
                        </a:solidFill>
                        <a:ln>
                          <a:noFill/>
                        </a:ln>
                        <a:effectLst/>
                      </wps:spPr>
                      <wps:txbx>
                        <w:txbxContent>
                          <w:p w14:paraId="5799BD6C" w14:textId="77777777" w:rsidR="00746E03" w:rsidRPr="003A7254" w:rsidRDefault="00746E03" w:rsidP="006E10E6">
                            <w:pPr>
                              <w:pStyle w:val="Descripcin"/>
                              <w:rPr>
                                <w:rFonts w:ascii="Century Gothic" w:hAnsi="Century Gothic"/>
                                <w:noProof/>
                                <w:color w:val="767171" w:themeColor="background2" w:themeShade="80"/>
                                <w:sz w:val="24"/>
                                <w:szCs w:val="24"/>
                              </w:rPr>
                            </w:pPr>
                            <w:bookmarkStart w:id="512" w:name="_Toc157007184"/>
                            <w:bookmarkStart w:id="513" w:name="_Toc157585899"/>
                            <w:bookmarkStart w:id="514" w:name="_Toc157671155"/>
                            <w:bookmarkStart w:id="515" w:name="_Toc158206901"/>
                            <w:bookmarkStart w:id="516" w:name="_Toc161322616"/>
                            <w:r w:rsidRPr="003A7254">
                              <w:rPr>
                                <w:rFonts w:ascii="Century Gothic" w:hAnsi="Century Gothic"/>
                                <w:color w:val="767171" w:themeColor="background2" w:themeShade="80"/>
                              </w:rPr>
                              <w:t xml:space="preserve">Anexo </w:t>
                            </w:r>
                            <w:r w:rsidRPr="003A7254">
                              <w:rPr>
                                <w:rFonts w:ascii="Century Gothic" w:hAnsi="Century Gothic"/>
                                <w:color w:val="767171" w:themeColor="background2" w:themeShade="80"/>
                              </w:rPr>
                              <w:fldChar w:fldCharType="begin"/>
                            </w:r>
                            <w:r w:rsidRPr="003A7254">
                              <w:rPr>
                                <w:rFonts w:ascii="Century Gothic" w:hAnsi="Century Gothic"/>
                                <w:color w:val="767171" w:themeColor="background2" w:themeShade="80"/>
                              </w:rPr>
                              <w:instrText xml:space="preserve"> SEQ Anexo \* ARABIC </w:instrText>
                            </w:r>
                            <w:r w:rsidRPr="003A7254">
                              <w:rPr>
                                <w:rFonts w:ascii="Century Gothic" w:hAnsi="Century Gothic"/>
                                <w:color w:val="767171" w:themeColor="background2" w:themeShade="80"/>
                              </w:rPr>
                              <w:fldChar w:fldCharType="separate"/>
                            </w:r>
                            <w:r>
                              <w:rPr>
                                <w:rFonts w:ascii="Century Gothic" w:hAnsi="Century Gothic"/>
                                <w:noProof/>
                                <w:color w:val="767171" w:themeColor="background2" w:themeShade="80"/>
                              </w:rPr>
                              <w:t>7</w:t>
                            </w:r>
                            <w:r w:rsidRPr="003A7254">
                              <w:rPr>
                                <w:rFonts w:ascii="Century Gothic" w:hAnsi="Century Gothic"/>
                                <w:color w:val="767171" w:themeColor="background2" w:themeShade="80"/>
                              </w:rPr>
                              <w:fldChar w:fldCharType="end"/>
                            </w:r>
                            <w:r w:rsidRPr="003A7254">
                              <w:rPr>
                                <w:rFonts w:ascii="Century Gothic" w:hAnsi="Century Gothic"/>
                                <w:color w:val="767171" w:themeColor="background2" w:themeShade="80"/>
                              </w:rPr>
                              <w:t xml:space="preserve">. </w:t>
                            </w:r>
                            <w:r w:rsidRPr="003A7254">
                              <w:rPr>
                                <w:rFonts w:ascii="Century Gothic" w:hAnsi="Century Gothic"/>
                                <w:b w:val="0"/>
                                <w:bCs w:val="0"/>
                                <w:color w:val="767171" w:themeColor="background2" w:themeShade="80"/>
                              </w:rPr>
                              <w:t>Instructivo de seguridad y resguardo de la información</w:t>
                            </w:r>
                            <w:bookmarkEnd w:id="512"/>
                            <w:bookmarkEnd w:id="513"/>
                            <w:bookmarkEnd w:id="514"/>
                            <w:bookmarkEnd w:id="515"/>
                            <w:bookmarkEnd w:id="5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EEE1A4" id="Cuadro de texto 1574249050" o:spid="_x0000_s1071" type="#_x0000_t202" style="position:absolute;margin-left:0;margin-top:0;width:405.9pt;height:.05pt;z-index:25174630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" stroked="f">
                <v:textbox style="mso-fit-shape-to-text:t" inset="0,0,0,0">
                  <w:txbxContent>
                    <w:p w14:paraId="5799BD6C" w14:textId="77777777" w:rsidR="00746E03" w:rsidRPr="003A7254" w:rsidRDefault="00746E03" w:rsidP="006E10E6">
                      <w:pPr>
                        <w:pStyle w:val="Descripcin"/>
                        <w:rPr>
                          <w:rFonts w:ascii="Century Gothic" w:hAnsi="Century Gothic"/>
                          <w:noProof/>
                          <w:color w:val="767171" w:themeColor="background2" w:themeShade="80"/>
                          <w:sz w:val="24"/>
                          <w:szCs w:val="24"/>
                        </w:rPr>
                      </w:pPr>
                      <w:bookmarkStart w:id="517" w:name="_Toc157007184"/>
                      <w:bookmarkStart w:id="518" w:name="_Toc157585899"/>
                      <w:bookmarkStart w:id="519" w:name="_Toc157671155"/>
                      <w:bookmarkStart w:id="520" w:name="_Toc158206901"/>
                      <w:bookmarkStart w:id="521" w:name="_Toc161322616"/>
                      <w:r w:rsidRPr="003A7254">
                        <w:rPr>
                          <w:rFonts w:ascii="Century Gothic" w:hAnsi="Century Gothic"/>
                          <w:color w:val="767171" w:themeColor="background2" w:themeShade="80"/>
                        </w:rPr>
                        <w:t xml:space="preserve">Anexo </w:t>
                      </w:r>
                      <w:r w:rsidRPr="003A7254">
                        <w:rPr>
                          <w:rFonts w:ascii="Century Gothic" w:hAnsi="Century Gothic"/>
                          <w:color w:val="767171" w:themeColor="background2" w:themeShade="80"/>
                        </w:rPr>
                        <w:fldChar w:fldCharType="begin"/>
                      </w:r>
                      <w:r w:rsidRPr="003A7254">
                        <w:rPr>
                          <w:rFonts w:ascii="Century Gothic" w:hAnsi="Century Gothic"/>
                          <w:color w:val="767171" w:themeColor="background2" w:themeShade="80"/>
                        </w:rPr>
                        <w:instrText xml:space="preserve"> SEQ Anexo \* ARABIC </w:instrText>
                      </w:r>
                      <w:r w:rsidRPr="003A7254">
                        <w:rPr>
                          <w:rFonts w:ascii="Century Gothic" w:hAnsi="Century Gothic"/>
                          <w:color w:val="767171" w:themeColor="background2" w:themeShade="80"/>
                        </w:rPr>
                        <w:fldChar w:fldCharType="separate"/>
                      </w:r>
                      <w:r>
                        <w:rPr>
                          <w:rFonts w:ascii="Century Gothic" w:hAnsi="Century Gothic"/>
                          <w:noProof/>
                          <w:color w:val="767171" w:themeColor="background2" w:themeShade="80"/>
                        </w:rPr>
                        <w:t>7</w:t>
                      </w:r>
                      <w:r w:rsidRPr="003A7254">
                        <w:rPr>
                          <w:rFonts w:ascii="Century Gothic" w:hAnsi="Century Gothic"/>
                          <w:color w:val="767171" w:themeColor="background2" w:themeShade="80"/>
                        </w:rPr>
                        <w:fldChar w:fldCharType="end"/>
                      </w:r>
                      <w:r w:rsidRPr="003A7254">
                        <w:rPr>
                          <w:rFonts w:ascii="Century Gothic" w:hAnsi="Century Gothic"/>
                          <w:color w:val="767171" w:themeColor="background2" w:themeShade="80"/>
                        </w:rPr>
                        <w:t xml:space="preserve">. </w:t>
                      </w:r>
                      <w:r w:rsidRPr="003A7254">
                        <w:rPr>
                          <w:rFonts w:ascii="Century Gothic" w:hAnsi="Century Gothic"/>
                          <w:b w:val="0"/>
                          <w:bCs w:val="0"/>
                          <w:color w:val="767171" w:themeColor="background2" w:themeShade="80"/>
                        </w:rPr>
                        <w:t>Instructivo de seguridad y resguardo de la información</w:t>
                      </w:r>
                      <w:bookmarkEnd w:id="517"/>
                      <w:bookmarkEnd w:id="518"/>
                      <w:bookmarkEnd w:id="519"/>
                      <w:bookmarkEnd w:id="520"/>
                      <w:bookmarkEnd w:id="521"/>
                    </w:p>
                  </w:txbxContent>
                </v:textbox>
                <w10:wrap type="square" anchorx="margin"/>
              </v:shape>
            </w:pict>
          </mc:Fallback>
        </mc:AlternateContent>
      </w:r>
    </w:p>
    <w:p w14:paraId="54A759F3" w14:textId="77777777" w:rsidR="006E10E6" w:rsidRPr="00582936" w:rsidRDefault="006E10E6" w:rsidP="006E10E6">
      <w:pPr>
        <w:rPr>
          <w:rFonts w:ascii="Century Gothic" w:hAnsi="Century Gothic"/>
          <w:color w:val="6E6E7C"/>
          <w:sz w:val="44"/>
          <w:szCs w:val="44"/>
        </w:rPr>
      </w:pPr>
    </w:p>
    <w:p w14:paraId="3332AD46" w14:textId="77777777" w:rsidR="006E10E6" w:rsidRPr="00582936" w:rsidRDefault="006E10E6" w:rsidP="006E10E6">
      <w:pPr>
        <w:rPr>
          <w:rFonts w:ascii="Century Gothic" w:hAnsi="Century Gothic"/>
          <w:color w:val="6E6E7C"/>
          <w:sz w:val="44"/>
          <w:szCs w:val="44"/>
        </w:rPr>
      </w:pPr>
    </w:p>
    <w:p w14:paraId="3A2E22C8" w14:textId="77777777" w:rsidR="006E10E6" w:rsidRDefault="006E10E6" w:rsidP="006E10E6">
      <w:pPr>
        <w:rPr>
          <w:rFonts w:ascii="Century Gothic" w:hAnsi="Century Gothic"/>
          <w:color w:val="6E6E7C"/>
          <w:sz w:val="44"/>
          <w:szCs w:val="44"/>
        </w:rPr>
      </w:pPr>
    </w:p>
    <w:p w14:paraId="16F93005" w14:textId="77777777" w:rsidR="006E10E6" w:rsidRDefault="006E10E6" w:rsidP="006E10E6">
      <w:pPr>
        <w:rPr>
          <w:rFonts w:ascii="Century Gothic" w:hAnsi="Century Gothic"/>
          <w:color w:val="6E6E7C"/>
          <w:sz w:val="44"/>
          <w:szCs w:val="44"/>
        </w:rPr>
      </w:pPr>
      <w:r w:rsidRPr="00582936">
        <w:rPr>
          <w:rFonts w:ascii="Century Gothic" w:hAnsi="Century Gothic"/>
          <w:noProof/>
          <w:color w:val="6E6E7C"/>
          <w:lang w:eastAsia="es-EC"/>
        </w:rPr>
        <w:lastRenderedPageBreak/>
        <w:drawing>
          <wp:anchor distT="0" distB="0" distL="114300" distR="114300" simplePos="0" relativeHeight="251760640" behindDoc="0" locked="0" layoutInCell="1" allowOverlap="1" wp14:anchorId="4A271ED1" wp14:editId="59D6265E">
            <wp:simplePos x="0" y="0"/>
            <wp:positionH relativeFrom="margin">
              <wp:posOffset>63219</wp:posOffset>
            </wp:positionH>
            <wp:positionV relativeFrom="paragraph">
              <wp:posOffset>3866205</wp:posOffset>
            </wp:positionV>
            <wp:extent cx="5396230" cy="3441700"/>
            <wp:effectExtent l="0" t="0" r="0" b="635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396230" cy="3441700"/>
                    </a:xfrm>
                    <a:prstGeom prst="rect">
                      <a:avLst/>
                    </a:prstGeom>
                  </pic:spPr>
                </pic:pic>
              </a:graphicData>
            </a:graphic>
            <wp14:sizeRelV relativeFrom="margin">
              <wp14:pctHeight>0</wp14:pctHeight>
            </wp14:sizeRelV>
          </wp:anchor>
        </w:drawing>
      </w:r>
      <w:r w:rsidRPr="00582936">
        <w:rPr>
          <w:rFonts w:ascii="Century Gothic" w:hAnsi="Century Gothic"/>
          <w:noProof/>
          <w:color w:val="6E6E7C"/>
          <w:lang w:eastAsia="es-EC"/>
        </w:rPr>
        <w:drawing>
          <wp:anchor distT="0" distB="0" distL="114300" distR="114300" simplePos="0" relativeHeight="251759616" behindDoc="0" locked="0" layoutInCell="1" allowOverlap="1" wp14:anchorId="078ADA50" wp14:editId="74E5F3B2">
            <wp:simplePos x="0" y="0"/>
            <wp:positionH relativeFrom="margin">
              <wp:posOffset>87984</wp:posOffset>
            </wp:positionH>
            <wp:positionV relativeFrom="paragraph">
              <wp:posOffset>327350</wp:posOffset>
            </wp:positionV>
            <wp:extent cx="5396230" cy="3174365"/>
            <wp:effectExtent l="0" t="0" r="0" b="6985"/>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396230" cy="3174365"/>
                    </a:xfrm>
                    <a:prstGeom prst="rect">
                      <a:avLst/>
                    </a:prstGeom>
                  </pic:spPr>
                </pic:pic>
              </a:graphicData>
            </a:graphic>
            <wp14:sizeRelV relativeFrom="margin">
              <wp14:pctHeight>0</wp14:pctHeight>
            </wp14:sizeRelV>
          </wp:anchor>
        </w:drawing>
      </w:r>
      <w:r w:rsidRPr="00582936">
        <w:rPr>
          <w:rFonts w:ascii="Century Gothic" w:hAnsi="Century Gothic"/>
          <w:noProof/>
          <w:color w:val="6E6E7C"/>
          <w:lang w:eastAsia="es-EC"/>
        </w:rPr>
        <mc:AlternateContent>
          <mc:Choice Requires="wps">
            <w:drawing>
              <wp:anchor distT="0" distB="0" distL="114300" distR="114300" simplePos="0" relativeHeight="251758592" behindDoc="0" locked="0" layoutInCell="1" allowOverlap="1" wp14:anchorId="34C2DC31" wp14:editId="32860643">
                <wp:simplePos x="0" y="0"/>
                <wp:positionH relativeFrom="margin">
                  <wp:posOffset>0</wp:posOffset>
                </wp:positionH>
                <wp:positionV relativeFrom="paragraph">
                  <wp:posOffset>0</wp:posOffset>
                </wp:positionV>
                <wp:extent cx="5396230" cy="635"/>
                <wp:effectExtent l="0" t="0" r="0" b="8255"/>
                <wp:wrapSquare wrapText="bothSides"/>
                <wp:docPr id="10" name="Cuadro de texto 10"/>
                <wp:cNvGraphicFramePr/>
                <a:graphic xmlns:a="http://schemas.openxmlformats.org/drawingml/2006/main">
                  <a:graphicData uri="http://schemas.microsoft.com/office/word/2010/wordprocessingShape">
                    <wps:wsp>
                      <wps:cNvSpPr txBox="1"/>
                      <wps:spPr>
                        <a:xfrm>
                          <a:off x="0" y="0"/>
                          <a:ext cx="5396230" cy="635"/>
                        </a:xfrm>
                        <a:prstGeom prst="rect">
                          <a:avLst/>
                        </a:prstGeom>
                        <a:solidFill>
                          <a:prstClr val="white"/>
                        </a:solidFill>
                        <a:ln>
                          <a:noFill/>
                        </a:ln>
                        <a:effectLst/>
                      </wps:spPr>
                      <wps:txbx>
                        <w:txbxContent>
                          <w:p w14:paraId="0F97CFEC" w14:textId="77777777" w:rsidR="00746E03" w:rsidRPr="003A7254" w:rsidRDefault="00746E03" w:rsidP="006E10E6">
                            <w:pPr>
                              <w:pStyle w:val="Descripcin"/>
                              <w:rPr>
                                <w:rFonts w:ascii="Century Gothic" w:hAnsi="Century Gothic"/>
                                <w:color w:val="767171" w:themeColor="background2" w:themeShade="80"/>
                              </w:rPr>
                            </w:pPr>
                            <w:bookmarkStart w:id="522" w:name="_Toc157007185"/>
                            <w:bookmarkStart w:id="523" w:name="_Toc157585900"/>
                            <w:bookmarkStart w:id="524" w:name="_Toc157671156"/>
                            <w:bookmarkStart w:id="525" w:name="_Toc158206902"/>
                            <w:bookmarkStart w:id="526" w:name="_Toc161322617"/>
                            <w:r w:rsidRPr="003A7254">
                              <w:rPr>
                                <w:rFonts w:ascii="Century Gothic" w:hAnsi="Century Gothic"/>
                                <w:color w:val="767171" w:themeColor="background2" w:themeShade="80"/>
                              </w:rPr>
                              <w:t xml:space="preserve">Anexo </w:t>
                            </w:r>
                            <w:r w:rsidRPr="003A7254">
                              <w:rPr>
                                <w:rFonts w:ascii="Century Gothic" w:hAnsi="Century Gothic"/>
                                <w:color w:val="767171" w:themeColor="background2" w:themeShade="80"/>
                              </w:rPr>
                              <w:fldChar w:fldCharType="begin"/>
                            </w:r>
                            <w:r w:rsidRPr="003A7254">
                              <w:rPr>
                                <w:rFonts w:ascii="Century Gothic" w:hAnsi="Century Gothic"/>
                                <w:color w:val="767171" w:themeColor="background2" w:themeShade="80"/>
                              </w:rPr>
                              <w:instrText xml:space="preserve"> SEQ Anexo \* ARABIC </w:instrText>
                            </w:r>
                            <w:r w:rsidRPr="003A7254">
                              <w:rPr>
                                <w:rFonts w:ascii="Century Gothic" w:hAnsi="Century Gothic"/>
                                <w:color w:val="767171" w:themeColor="background2" w:themeShade="80"/>
                              </w:rPr>
                              <w:fldChar w:fldCharType="separate"/>
                            </w:r>
                            <w:r>
                              <w:rPr>
                                <w:rFonts w:ascii="Century Gothic" w:hAnsi="Century Gothic"/>
                                <w:noProof/>
                                <w:color w:val="767171" w:themeColor="background2" w:themeShade="80"/>
                              </w:rPr>
                              <w:t>8</w:t>
                            </w:r>
                            <w:r w:rsidRPr="003A7254">
                              <w:rPr>
                                <w:rFonts w:ascii="Century Gothic" w:hAnsi="Century Gothic"/>
                                <w:color w:val="767171" w:themeColor="background2" w:themeShade="80"/>
                              </w:rPr>
                              <w:fldChar w:fldCharType="end"/>
                            </w:r>
                            <w:r w:rsidRPr="003A7254">
                              <w:rPr>
                                <w:rFonts w:ascii="Century Gothic" w:hAnsi="Century Gothic"/>
                                <w:color w:val="767171" w:themeColor="background2" w:themeShade="80"/>
                              </w:rPr>
                              <w:t xml:space="preserve">. </w:t>
                            </w:r>
                            <w:r w:rsidRPr="003A7254">
                              <w:rPr>
                                <w:rFonts w:ascii="Century Gothic" w:hAnsi="Century Gothic"/>
                                <w:b w:val="0"/>
                                <w:bCs w:val="0"/>
                                <w:color w:val="767171" w:themeColor="background2" w:themeShade="80"/>
                              </w:rPr>
                              <w:t>Justificativos de llenado en papel y presencial</w:t>
                            </w:r>
                            <w:bookmarkEnd w:id="522"/>
                            <w:bookmarkEnd w:id="523"/>
                            <w:bookmarkEnd w:id="524"/>
                            <w:bookmarkEnd w:id="525"/>
                            <w:bookmarkEnd w:id="5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C2DC31" id="Cuadro de texto 10" o:spid="_x0000_s1072" type="#_x0000_t202" style="position:absolute;margin-left:0;margin-top:0;width:424.9pt;height:.05pt;z-index:2517585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" stroked="f">
                <v:textbox style="mso-fit-shape-to-text:t" inset="0,0,0,0">
                  <w:txbxContent>
                    <w:p w14:paraId="0F97CFEC" w14:textId="77777777" w:rsidR="00746E03" w:rsidRPr="003A7254" w:rsidRDefault="00746E03" w:rsidP="006E10E6">
                      <w:pPr>
                        <w:pStyle w:val="Descripcin"/>
                        <w:rPr>
                          <w:rFonts w:ascii="Century Gothic" w:hAnsi="Century Gothic"/>
                          <w:color w:val="767171" w:themeColor="background2" w:themeShade="80"/>
                        </w:rPr>
                      </w:pPr>
                      <w:bookmarkStart w:id="527" w:name="_Toc157007185"/>
                      <w:bookmarkStart w:id="528" w:name="_Toc157585900"/>
                      <w:bookmarkStart w:id="529" w:name="_Toc157671156"/>
                      <w:bookmarkStart w:id="530" w:name="_Toc158206902"/>
                      <w:bookmarkStart w:id="531" w:name="_Toc161322617"/>
                      <w:r w:rsidRPr="003A7254">
                        <w:rPr>
                          <w:rFonts w:ascii="Century Gothic" w:hAnsi="Century Gothic"/>
                          <w:color w:val="767171" w:themeColor="background2" w:themeShade="80"/>
                        </w:rPr>
                        <w:t xml:space="preserve">Anexo </w:t>
                      </w:r>
                      <w:r w:rsidRPr="003A7254">
                        <w:rPr>
                          <w:rFonts w:ascii="Century Gothic" w:hAnsi="Century Gothic"/>
                          <w:color w:val="767171" w:themeColor="background2" w:themeShade="80"/>
                        </w:rPr>
                        <w:fldChar w:fldCharType="begin"/>
                      </w:r>
                      <w:r w:rsidRPr="003A7254">
                        <w:rPr>
                          <w:rFonts w:ascii="Century Gothic" w:hAnsi="Century Gothic"/>
                          <w:color w:val="767171" w:themeColor="background2" w:themeShade="80"/>
                        </w:rPr>
                        <w:instrText xml:space="preserve"> SEQ Anexo \* ARABIC </w:instrText>
                      </w:r>
                      <w:r w:rsidRPr="003A7254">
                        <w:rPr>
                          <w:rFonts w:ascii="Century Gothic" w:hAnsi="Century Gothic"/>
                          <w:color w:val="767171" w:themeColor="background2" w:themeShade="80"/>
                        </w:rPr>
                        <w:fldChar w:fldCharType="separate"/>
                      </w:r>
                      <w:r>
                        <w:rPr>
                          <w:rFonts w:ascii="Century Gothic" w:hAnsi="Century Gothic"/>
                          <w:noProof/>
                          <w:color w:val="767171" w:themeColor="background2" w:themeShade="80"/>
                        </w:rPr>
                        <w:t>8</w:t>
                      </w:r>
                      <w:r w:rsidRPr="003A7254">
                        <w:rPr>
                          <w:rFonts w:ascii="Century Gothic" w:hAnsi="Century Gothic"/>
                          <w:color w:val="767171" w:themeColor="background2" w:themeShade="80"/>
                        </w:rPr>
                        <w:fldChar w:fldCharType="end"/>
                      </w:r>
                      <w:r w:rsidRPr="003A7254">
                        <w:rPr>
                          <w:rFonts w:ascii="Century Gothic" w:hAnsi="Century Gothic"/>
                          <w:color w:val="767171" w:themeColor="background2" w:themeShade="80"/>
                        </w:rPr>
                        <w:t xml:space="preserve">. </w:t>
                      </w:r>
                      <w:r w:rsidRPr="003A7254">
                        <w:rPr>
                          <w:rFonts w:ascii="Century Gothic" w:hAnsi="Century Gothic"/>
                          <w:b w:val="0"/>
                          <w:bCs w:val="0"/>
                          <w:color w:val="767171" w:themeColor="background2" w:themeShade="80"/>
                        </w:rPr>
                        <w:t>Justificativos de llenado en papel y presencial</w:t>
                      </w:r>
                      <w:bookmarkEnd w:id="527"/>
                      <w:bookmarkEnd w:id="528"/>
                      <w:bookmarkEnd w:id="529"/>
                      <w:bookmarkEnd w:id="530"/>
                      <w:bookmarkEnd w:id="531"/>
                    </w:p>
                  </w:txbxContent>
                </v:textbox>
                <w10:wrap type="square" anchorx="margin"/>
              </v:shape>
            </w:pict>
          </mc:Fallback>
        </mc:AlternateContent>
      </w:r>
    </w:p>
    <w:p w14:paraId="70B3EFBA" w14:textId="77777777" w:rsidR="006E10E6" w:rsidRDefault="006E10E6" w:rsidP="006E10E6">
      <w:pPr>
        <w:rPr>
          <w:rFonts w:ascii="Century Gothic" w:hAnsi="Century Gothic"/>
          <w:color w:val="6E6E7C"/>
          <w:sz w:val="44"/>
          <w:szCs w:val="44"/>
        </w:rPr>
      </w:pPr>
    </w:p>
    <w:p w14:paraId="4200B073" w14:textId="77777777" w:rsidR="006E10E6" w:rsidRDefault="006E10E6" w:rsidP="006E10E6">
      <w:pPr>
        <w:rPr>
          <w:rFonts w:ascii="Century Gothic" w:hAnsi="Century Gothic"/>
          <w:color w:val="6E6E7C"/>
          <w:sz w:val="44"/>
          <w:szCs w:val="44"/>
        </w:rPr>
      </w:pPr>
    </w:p>
    <w:p w14:paraId="2F7E0B9D" w14:textId="77777777" w:rsidR="006E10E6" w:rsidRDefault="006E10E6" w:rsidP="006E10E6">
      <w:pPr>
        <w:rPr>
          <w:rFonts w:ascii="Century Gothic" w:hAnsi="Century Gothic"/>
          <w:color w:val="6E6E7C"/>
          <w:sz w:val="44"/>
          <w:szCs w:val="44"/>
        </w:rPr>
      </w:pPr>
    </w:p>
    <w:p w14:paraId="119045BA" w14:textId="77777777" w:rsidR="006E10E6" w:rsidRDefault="006E10E6" w:rsidP="006E10E6">
      <w:pPr>
        <w:rPr>
          <w:rFonts w:ascii="Century Gothic" w:hAnsi="Century Gothic"/>
          <w:color w:val="6E6E7C"/>
          <w:sz w:val="44"/>
          <w:szCs w:val="44"/>
        </w:rPr>
      </w:pPr>
    </w:p>
    <w:p w14:paraId="66CFB32E" w14:textId="77777777" w:rsidR="006E10E6" w:rsidRDefault="0088423F" w:rsidP="006E10E6">
      <w:pPr>
        <w:rPr>
          <w:rFonts w:ascii="Century Gothic" w:hAnsi="Century Gothic"/>
          <w:color w:val="6E6E7C"/>
          <w:sz w:val="44"/>
          <w:szCs w:val="44"/>
        </w:rPr>
      </w:pPr>
      <w:r>
        <w:rPr>
          <w:noProof/>
          <w:lang w:eastAsia="es-EC"/>
        </w:rPr>
        <w:lastRenderedPageBreak/>
        <w:drawing>
          <wp:anchor distT="0" distB="0" distL="114300" distR="114300" simplePos="0" relativeHeight="251757568" behindDoc="0" locked="0" layoutInCell="1" allowOverlap="1" wp14:anchorId="5AAB1699" wp14:editId="708ED8C0">
            <wp:simplePos x="0" y="0"/>
            <wp:positionH relativeFrom="column">
              <wp:posOffset>-462915</wp:posOffset>
            </wp:positionH>
            <wp:positionV relativeFrom="paragraph">
              <wp:posOffset>435610</wp:posOffset>
            </wp:positionV>
            <wp:extent cx="6410960" cy="3752850"/>
            <wp:effectExtent l="0" t="0" r="8890"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410960" cy="3752850"/>
                    </a:xfrm>
                    <a:prstGeom prst="rect">
                      <a:avLst/>
                    </a:prstGeom>
                  </pic:spPr>
                </pic:pic>
              </a:graphicData>
            </a:graphic>
            <wp14:sizeRelH relativeFrom="margin">
              <wp14:pctWidth>0</wp14:pctWidth>
            </wp14:sizeRelH>
            <wp14:sizeRelV relativeFrom="margin">
              <wp14:pctHeight>0</wp14:pctHeight>
            </wp14:sizeRelV>
          </wp:anchor>
        </w:drawing>
      </w:r>
      <w:r>
        <w:rPr>
          <w:noProof/>
          <w:lang w:eastAsia="es-EC"/>
        </w:rPr>
        <mc:AlternateContent>
          <mc:Choice Requires="wps">
            <w:drawing>
              <wp:anchor distT="0" distB="0" distL="114300" distR="114300" simplePos="0" relativeHeight="251761664" behindDoc="0" locked="0" layoutInCell="1" allowOverlap="1" wp14:anchorId="331E308B" wp14:editId="28390277">
                <wp:simplePos x="0" y="0"/>
                <wp:positionH relativeFrom="column">
                  <wp:posOffset>-408305</wp:posOffset>
                </wp:positionH>
                <wp:positionV relativeFrom="paragraph">
                  <wp:posOffset>0</wp:posOffset>
                </wp:positionV>
                <wp:extent cx="6410960" cy="635"/>
                <wp:effectExtent l="0" t="0" r="0" b="0"/>
                <wp:wrapSquare wrapText="bothSides"/>
                <wp:docPr id="27" name="Cuadro de texto 27"/>
                <wp:cNvGraphicFramePr/>
                <a:graphic xmlns:a="http://schemas.openxmlformats.org/drawingml/2006/main">
                  <a:graphicData uri="http://schemas.microsoft.com/office/word/2010/wordprocessingShape">
                    <wps:wsp>
                      <wps:cNvSpPr txBox="1"/>
                      <wps:spPr>
                        <a:xfrm>
                          <a:off x="0" y="0"/>
                          <a:ext cx="6410960" cy="635"/>
                        </a:xfrm>
                        <a:prstGeom prst="rect">
                          <a:avLst/>
                        </a:prstGeom>
                        <a:solidFill>
                          <a:prstClr val="white"/>
                        </a:solidFill>
                        <a:ln>
                          <a:noFill/>
                        </a:ln>
                        <a:effectLst/>
                      </wps:spPr>
                      <wps:txbx>
                        <w:txbxContent>
                          <w:p w14:paraId="61C7D545" w14:textId="77777777" w:rsidR="00746E03" w:rsidRPr="00D0786A" w:rsidRDefault="00746E03" w:rsidP="006E10E6">
                            <w:pPr>
                              <w:pStyle w:val="Descripcin"/>
                              <w:rPr>
                                <w:rFonts w:ascii="Century Gothic" w:hAnsi="Century Gothic"/>
                                <w:b w:val="0"/>
                                <w:bCs w:val="0"/>
                                <w:color w:val="767171" w:themeColor="background2" w:themeShade="80"/>
                              </w:rPr>
                            </w:pPr>
                            <w:bookmarkStart w:id="532" w:name="_Toc157585901"/>
                            <w:bookmarkStart w:id="533" w:name="_Toc157671157"/>
                            <w:bookmarkStart w:id="534" w:name="_Toc158206903"/>
                            <w:bookmarkStart w:id="535" w:name="_Toc161322618"/>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9</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Formulario de justificación para uso de credenciales</w:t>
                            </w:r>
                            <w:bookmarkEnd w:id="532"/>
                            <w:bookmarkEnd w:id="533"/>
                            <w:bookmarkEnd w:id="534"/>
                            <w:bookmarkEnd w:id="5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1E308B" id="Cuadro de texto 27" o:spid="_x0000_s1073" type="#_x0000_t202" style="position:absolute;margin-left:-32.15pt;margin-top:0;width:504.8pt;height:.0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" stroked="f">
                <v:textbox style="mso-fit-shape-to-text:t" inset="0,0,0,0">
                  <w:txbxContent>
                    <w:p w14:paraId="61C7D545" w14:textId="77777777" w:rsidR="00746E03" w:rsidRPr="00D0786A" w:rsidRDefault="00746E03" w:rsidP="006E10E6">
                      <w:pPr>
                        <w:pStyle w:val="Descripcin"/>
                        <w:rPr>
                          <w:rFonts w:ascii="Century Gothic" w:hAnsi="Century Gothic"/>
                          <w:b w:val="0"/>
                          <w:bCs w:val="0"/>
                          <w:color w:val="767171" w:themeColor="background2" w:themeShade="80"/>
                        </w:rPr>
                      </w:pPr>
                      <w:bookmarkStart w:id="536" w:name="_Toc157585901"/>
                      <w:bookmarkStart w:id="537" w:name="_Toc157671157"/>
                      <w:bookmarkStart w:id="538" w:name="_Toc158206903"/>
                      <w:bookmarkStart w:id="539" w:name="_Toc161322618"/>
                      <w:r w:rsidRPr="00D0786A">
                        <w:rPr>
                          <w:rFonts w:ascii="Century Gothic" w:hAnsi="Century Gothic"/>
                          <w:bCs w:val="0"/>
                          <w:color w:val="767171" w:themeColor="background2" w:themeShade="80"/>
                        </w:rPr>
                        <w:t xml:space="preserve">Anexo </w:t>
                      </w:r>
                      <w:r w:rsidRPr="00D0786A">
                        <w:rPr>
                          <w:rFonts w:ascii="Century Gothic" w:hAnsi="Century Gothic"/>
                          <w:bCs w:val="0"/>
                          <w:color w:val="767171" w:themeColor="background2" w:themeShade="80"/>
                        </w:rPr>
                        <w:fldChar w:fldCharType="begin"/>
                      </w:r>
                      <w:r w:rsidRPr="00D0786A">
                        <w:rPr>
                          <w:rFonts w:ascii="Century Gothic" w:hAnsi="Century Gothic"/>
                          <w:bCs w:val="0"/>
                          <w:color w:val="767171" w:themeColor="background2" w:themeShade="80"/>
                        </w:rPr>
                        <w:instrText xml:space="preserve"> SEQ Anexo \* ARABIC </w:instrText>
                      </w:r>
                      <w:r w:rsidRPr="00D0786A">
                        <w:rPr>
                          <w:rFonts w:ascii="Century Gothic" w:hAnsi="Century Gothic"/>
                          <w:bCs w:val="0"/>
                          <w:color w:val="767171" w:themeColor="background2" w:themeShade="80"/>
                        </w:rPr>
                        <w:fldChar w:fldCharType="separate"/>
                      </w:r>
                      <w:r>
                        <w:rPr>
                          <w:rFonts w:ascii="Century Gothic" w:hAnsi="Century Gothic"/>
                          <w:bCs w:val="0"/>
                          <w:noProof/>
                          <w:color w:val="767171" w:themeColor="background2" w:themeShade="80"/>
                        </w:rPr>
                        <w:t>9</w:t>
                      </w:r>
                      <w:r w:rsidRPr="00D0786A">
                        <w:rPr>
                          <w:rFonts w:ascii="Century Gothic" w:hAnsi="Century Gothic"/>
                          <w:bCs w:val="0"/>
                          <w:color w:val="767171" w:themeColor="background2" w:themeShade="80"/>
                        </w:rPr>
                        <w:fldChar w:fldCharType="end"/>
                      </w:r>
                      <w:r w:rsidRPr="00D0786A">
                        <w:rPr>
                          <w:rFonts w:ascii="Century Gothic" w:hAnsi="Century Gothic"/>
                          <w:bCs w:val="0"/>
                          <w:color w:val="767171" w:themeColor="background2" w:themeShade="80"/>
                        </w:rPr>
                        <w:t>.</w:t>
                      </w:r>
                      <w:r w:rsidRPr="00D0786A">
                        <w:rPr>
                          <w:rFonts w:ascii="Century Gothic" w:hAnsi="Century Gothic"/>
                          <w:b w:val="0"/>
                          <w:bCs w:val="0"/>
                          <w:color w:val="767171" w:themeColor="background2" w:themeShade="80"/>
                        </w:rPr>
                        <w:t xml:space="preserve"> Formulario de justificación para uso de credenciales</w:t>
                      </w:r>
                      <w:bookmarkEnd w:id="536"/>
                      <w:bookmarkEnd w:id="537"/>
                      <w:bookmarkEnd w:id="538"/>
                      <w:bookmarkEnd w:id="539"/>
                    </w:p>
                  </w:txbxContent>
                </v:textbox>
                <w10:wrap type="square"/>
              </v:shape>
            </w:pict>
          </mc:Fallback>
        </mc:AlternateContent>
      </w:r>
    </w:p>
    <w:p w14:paraId="4919D7E8" w14:textId="77777777" w:rsidR="006E10E6" w:rsidRDefault="006E10E6" w:rsidP="006E10E6">
      <w:pPr>
        <w:rPr>
          <w:rFonts w:ascii="Century Gothic" w:hAnsi="Century Gothic"/>
          <w:color w:val="6E6E7C"/>
          <w:sz w:val="44"/>
          <w:szCs w:val="44"/>
        </w:rPr>
      </w:pPr>
    </w:p>
    <w:p w14:paraId="7F7CC435" w14:textId="77777777" w:rsidR="006E10E6" w:rsidRDefault="006E10E6" w:rsidP="006E10E6">
      <w:pPr>
        <w:rPr>
          <w:rFonts w:ascii="Century Gothic" w:hAnsi="Century Gothic"/>
          <w:color w:val="6E6E7C"/>
          <w:sz w:val="44"/>
          <w:szCs w:val="44"/>
        </w:rPr>
      </w:pPr>
    </w:p>
    <w:p w14:paraId="708018CA" w14:textId="77777777" w:rsidR="006E10E6" w:rsidRDefault="006E10E6" w:rsidP="006E10E6">
      <w:pPr>
        <w:rPr>
          <w:rFonts w:ascii="Century Gothic" w:hAnsi="Century Gothic"/>
          <w:color w:val="6E6E7C"/>
          <w:sz w:val="44"/>
          <w:szCs w:val="44"/>
        </w:rPr>
      </w:pPr>
    </w:p>
    <w:p w14:paraId="7D44012E" w14:textId="77777777" w:rsidR="006E10E6" w:rsidRDefault="006E10E6">
      <w:pPr>
        <w:rPr>
          <w:rFonts w:ascii="Century Gothic" w:hAnsi="Century Gothic"/>
          <w:color w:val="6E6E7C"/>
          <w:sz w:val="44"/>
          <w:szCs w:val="44"/>
        </w:rPr>
      </w:pPr>
    </w:p>
    <w:p w14:paraId="34EE2F08" w14:textId="77777777" w:rsidR="006E10E6" w:rsidRDefault="006E10E6">
      <w:pPr>
        <w:rPr>
          <w:rFonts w:ascii="Century Gothic" w:hAnsi="Century Gothic"/>
          <w:color w:val="6E6E7C"/>
          <w:sz w:val="44"/>
          <w:szCs w:val="44"/>
        </w:rPr>
      </w:pPr>
    </w:p>
    <w:p w14:paraId="7D58CBF6" w14:textId="77777777" w:rsidR="006E10E6" w:rsidRDefault="006E10E6">
      <w:pPr>
        <w:rPr>
          <w:rFonts w:asciiTheme="majorHAnsi" w:eastAsiaTheme="majorEastAsia" w:hAnsiTheme="majorHAnsi" w:cstheme="majorBidi"/>
          <w:color w:val="2F5496" w:themeColor="accent1" w:themeShade="BF"/>
          <w:sz w:val="32"/>
          <w:szCs w:val="32"/>
          <w:lang w:val="es-ES"/>
        </w:rPr>
      </w:pPr>
    </w:p>
    <w:p w14:paraId="58C6446B" w14:textId="77777777" w:rsidR="001F202E" w:rsidRDefault="001F202E">
      <w:pPr>
        <w:rPr>
          <w:rFonts w:asciiTheme="majorHAnsi" w:eastAsiaTheme="majorEastAsia" w:hAnsiTheme="majorHAnsi" w:cstheme="majorBidi"/>
          <w:color w:val="2F5496" w:themeColor="accent1" w:themeShade="BF"/>
          <w:sz w:val="32"/>
          <w:szCs w:val="32"/>
          <w:lang w:val="es-ES"/>
        </w:rPr>
      </w:pPr>
    </w:p>
    <w:p w14:paraId="493B90DE" w14:textId="77777777" w:rsidR="001F202E" w:rsidRDefault="001F202E">
      <w:pPr>
        <w:rPr>
          <w:rFonts w:asciiTheme="majorHAnsi" w:eastAsiaTheme="majorEastAsia" w:hAnsiTheme="majorHAnsi" w:cstheme="majorBidi"/>
          <w:color w:val="2F5496" w:themeColor="accent1" w:themeShade="BF"/>
          <w:sz w:val="32"/>
          <w:szCs w:val="32"/>
          <w:lang w:val="es-ES"/>
        </w:rPr>
      </w:pPr>
    </w:p>
    <w:p w14:paraId="0D315FE1" w14:textId="77777777" w:rsidR="001F202E" w:rsidRDefault="001F202E">
      <w:pPr>
        <w:rPr>
          <w:rFonts w:asciiTheme="majorHAnsi" w:eastAsiaTheme="majorEastAsia" w:hAnsiTheme="majorHAnsi" w:cstheme="majorBidi"/>
          <w:color w:val="2F5496" w:themeColor="accent1" w:themeShade="BF"/>
          <w:sz w:val="32"/>
          <w:szCs w:val="32"/>
          <w:lang w:val="es-ES"/>
        </w:rPr>
      </w:pPr>
    </w:p>
    <w:p w14:paraId="3A37FC4D" w14:textId="77777777" w:rsidR="001F202E" w:rsidRDefault="001F202E">
      <w:pPr>
        <w:rPr>
          <w:rFonts w:ascii="Century Gothic" w:hAnsi="Century Gothic"/>
          <w:color w:val="6E6E7C"/>
          <w:sz w:val="44"/>
          <w:szCs w:val="44"/>
        </w:rPr>
      </w:pPr>
    </w:p>
    <w:p w14:paraId="52959407" w14:textId="77777777" w:rsidR="006E10E6" w:rsidRDefault="006E10E6">
      <w:pPr>
        <w:rPr>
          <w:rFonts w:ascii="Century Gothic" w:hAnsi="Century Gothic"/>
          <w:color w:val="6E6E7C"/>
          <w:sz w:val="44"/>
          <w:szCs w:val="44"/>
        </w:rPr>
      </w:pPr>
    </w:p>
    <w:p w14:paraId="4F5CAD87" w14:textId="77777777" w:rsidR="006E10E6" w:rsidRDefault="006E10E6">
      <w:pPr>
        <w:rPr>
          <w:rFonts w:ascii="Century Gothic" w:hAnsi="Century Gothic"/>
          <w:color w:val="6E6E7C"/>
          <w:sz w:val="44"/>
          <w:szCs w:val="44"/>
        </w:rPr>
      </w:pPr>
    </w:p>
    <w:p w14:paraId="3179FDD8" w14:textId="77777777" w:rsidR="006E10E6" w:rsidRDefault="006E10E6">
      <w:pPr>
        <w:rPr>
          <w:rFonts w:ascii="Century Gothic" w:hAnsi="Century Gothic"/>
          <w:color w:val="6E6E7C"/>
          <w:sz w:val="44"/>
          <w:szCs w:val="44"/>
        </w:rPr>
      </w:pPr>
    </w:p>
    <w:p w14:paraId="300C0D3A" w14:textId="3F69A54F" w:rsidR="006E10E6" w:rsidRDefault="001F202E">
      <w:pPr>
        <w:rPr>
          <w:rFonts w:ascii="Century Gothic" w:hAnsi="Century Gothic"/>
          <w:color w:val="6E6E7C"/>
          <w:sz w:val="44"/>
          <w:szCs w:val="44"/>
        </w:rPr>
      </w:pPr>
      <w:bookmarkStart w:id="540" w:name="_GoBack"/>
      <w:r w:rsidRPr="00582936">
        <w:rPr>
          <w:rFonts w:ascii="Century Gothic" w:hAnsi="Century Gothic"/>
          <w:noProof/>
          <w:color w:val="6E6E7C"/>
          <w:lang w:eastAsia="es-EC"/>
        </w:rPr>
        <w:lastRenderedPageBreak/>
        <w:drawing>
          <wp:anchor distT="0" distB="0" distL="114300" distR="114300" simplePos="0" relativeHeight="251656192" behindDoc="1" locked="0" layoutInCell="1" allowOverlap="1" wp14:anchorId="2E204B06" wp14:editId="06F02314">
            <wp:simplePos x="0" y="0"/>
            <wp:positionH relativeFrom="page">
              <wp:align>left</wp:align>
            </wp:positionH>
            <wp:positionV relativeFrom="paragraph">
              <wp:posOffset>-896343</wp:posOffset>
            </wp:positionV>
            <wp:extent cx="7559412" cy="10684815"/>
            <wp:effectExtent l="0" t="0" r="3810" b="254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41" cstate="email">
                      <a:extLst>
                        <a:ext uri="{28A0092B-C50C-407E-A947-70E740481C1C}">
                          <a14:useLocalDpi xmlns:a14="http://schemas.microsoft.com/office/drawing/2010/main"/>
                        </a:ext>
                      </a:extLst>
                    </a:blip>
                    <a:stretch>
                      <a:fillRect/>
                    </a:stretch>
                  </pic:blipFill>
                  <pic:spPr>
                    <a:xfrm>
                      <a:off x="0" y="0"/>
                      <a:ext cx="7559412" cy="10684815"/>
                    </a:xfrm>
                    <a:prstGeom prst="rect">
                      <a:avLst/>
                    </a:prstGeom>
                  </pic:spPr>
                </pic:pic>
              </a:graphicData>
            </a:graphic>
            <wp14:sizeRelH relativeFrom="page">
              <wp14:pctWidth>0</wp14:pctWidth>
            </wp14:sizeRelH>
            <wp14:sizeRelV relativeFrom="page">
              <wp14:pctHeight>0</wp14:pctHeight>
            </wp14:sizeRelV>
          </wp:anchor>
        </w:drawing>
      </w:r>
      <w:bookmarkEnd w:id="540"/>
    </w:p>
    <w:p w14:paraId="59644807" w14:textId="58FEBB70" w:rsidR="005D6130" w:rsidRPr="00582936" w:rsidRDefault="005D6130">
      <w:pPr>
        <w:rPr>
          <w:rFonts w:ascii="Century Gothic" w:hAnsi="Century Gothic"/>
          <w:color w:val="6E6E7C"/>
          <w:sz w:val="44"/>
          <w:szCs w:val="44"/>
        </w:rPr>
      </w:pPr>
    </w:p>
    <w:p w14:paraId="772C2C33" w14:textId="77777777" w:rsidR="0007659A" w:rsidRPr="00582936" w:rsidRDefault="0007659A">
      <w:pPr>
        <w:rPr>
          <w:rFonts w:ascii="Century Gothic" w:hAnsi="Century Gothic"/>
          <w:color w:val="6E6E7C"/>
        </w:rPr>
      </w:pPr>
    </w:p>
    <w:p w14:paraId="74A8A3CC" w14:textId="77777777" w:rsidR="0007659A" w:rsidRPr="00582936" w:rsidRDefault="0007659A">
      <w:pPr>
        <w:rPr>
          <w:rFonts w:ascii="Century Gothic" w:hAnsi="Century Gothic"/>
          <w:color w:val="6E6E7C"/>
        </w:rPr>
      </w:pPr>
    </w:p>
    <w:p w14:paraId="04A0D24F" w14:textId="77777777" w:rsidR="0007659A" w:rsidRPr="00582936" w:rsidRDefault="0007659A">
      <w:pPr>
        <w:rPr>
          <w:rFonts w:ascii="Century Gothic" w:hAnsi="Century Gothic"/>
          <w:color w:val="6E6E7C"/>
        </w:rPr>
      </w:pPr>
    </w:p>
    <w:p w14:paraId="28B0C44B" w14:textId="77777777" w:rsidR="0007659A" w:rsidRPr="00582936" w:rsidRDefault="0007659A">
      <w:pPr>
        <w:rPr>
          <w:rFonts w:ascii="Century Gothic" w:hAnsi="Century Gothic"/>
          <w:color w:val="6E6E7C"/>
        </w:rPr>
      </w:pPr>
    </w:p>
    <w:p w14:paraId="20672F70" w14:textId="77777777" w:rsidR="00F10627" w:rsidRPr="00582936" w:rsidRDefault="00F10627">
      <w:pPr>
        <w:rPr>
          <w:rFonts w:ascii="Century Gothic" w:hAnsi="Century Gothic"/>
          <w:color w:val="6E6E7C"/>
        </w:rPr>
      </w:pPr>
    </w:p>
    <w:p w14:paraId="3193AC63" w14:textId="77777777" w:rsidR="0007659A" w:rsidRPr="00582936" w:rsidRDefault="0007659A">
      <w:pPr>
        <w:rPr>
          <w:rFonts w:ascii="Century Gothic" w:hAnsi="Century Gothic"/>
          <w:color w:val="6E6E7C"/>
        </w:rPr>
      </w:pPr>
    </w:p>
    <w:p w14:paraId="09491D7F" w14:textId="77777777" w:rsidR="0007659A" w:rsidRPr="00582936" w:rsidRDefault="006E10E6" w:rsidP="006E10E6">
      <w:pPr>
        <w:tabs>
          <w:tab w:val="left" w:pos="7155"/>
        </w:tabs>
        <w:rPr>
          <w:rFonts w:ascii="Century Gothic" w:hAnsi="Century Gothic"/>
          <w:color w:val="6E6E7C"/>
        </w:rPr>
      </w:pPr>
      <w:r>
        <w:rPr>
          <w:rFonts w:ascii="Century Gothic" w:hAnsi="Century Gothic"/>
          <w:color w:val="6E6E7C"/>
        </w:rPr>
        <w:tab/>
      </w:r>
    </w:p>
    <w:p w14:paraId="54FD4835" w14:textId="77777777" w:rsidR="0007659A" w:rsidRPr="00582936" w:rsidRDefault="0007659A">
      <w:pPr>
        <w:rPr>
          <w:rFonts w:ascii="Century Gothic" w:hAnsi="Century Gothic"/>
          <w:color w:val="6E6E7C"/>
        </w:rPr>
      </w:pPr>
    </w:p>
    <w:p w14:paraId="13C80681" w14:textId="77777777" w:rsidR="0007659A" w:rsidRPr="00582936" w:rsidRDefault="0007659A">
      <w:pPr>
        <w:rPr>
          <w:rFonts w:ascii="Century Gothic" w:hAnsi="Century Gothic"/>
          <w:color w:val="6E6E7C"/>
        </w:rPr>
      </w:pPr>
    </w:p>
    <w:p w14:paraId="7BAE2FE4" w14:textId="77777777" w:rsidR="0007659A" w:rsidRPr="00582936" w:rsidRDefault="0007659A">
      <w:pPr>
        <w:rPr>
          <w:rFonts w:ascii="Century Gothic" w:hAnsi="Century Gothic"/>
          <w:color w:val="6E6E7C"/>
        </w:rPr>
      </w:pPr>
    </w:p>
    <w:p w14:paraId="64704466" w14:textId="77777777" w:rsidR="0007659A" w:rsidRPr="00582936" w:rsidRDefault="0007659A">
      <w:pPr>
        <w:rPr>
          <w:rFonts w:ascii="Century Gothic" w:hAnsi="Century Gothic"/>
          <w:color w:val="6E6E7C"/>
        </w:rPr>
      </w:pPr>
    </w:p>
    <w:p w14:paraId="41FCDF96" w14:textId="77777777" w:rsidR="0007659A" w:rsidRPr="00582936" w:rsidRDefault="0007659A">
      <w:pPr>
        <w:rPr>
          <w:rFonts w:ascii="Century Gothic" w:hAnsi="Century Gothic"/>
          <w:color w:val="6E6E7C"/>
        </w:rPr>
      </w:pPr>
    </w:p>
    <w:p w14:paraId="1D1A51DD" w14:textId="77777777" w:rsidR="0007659A" w:rsidRPr="00582936" w:rsidRDefault="0007659A">
      <w:pPr>
        <w:rPr>
          <w:rFonts w:ascii="Century Gothic" w:hAnsi="Century Gothic"/>
          <w:color w:val="6E6E7C"/>
        </w:rPr>
      </w:pPr>
    </w:p>
    <w:p w14:paraId="15C352FF" w14:textId="77777777" w:rsidR="0007659A" w:rsidRPr="00582936" w:rsidRDefault="0007659A">
      <w:pPr>
        <w:rPr>
          <w:rFonts w:ascii="Century Gothic" w:hAnsi="Century Gothic"/>
          <w:color w:val="6E6E7C"/>
        </w:rPr>
      </w:pPr>
    </w:p>
    <w:p w14:paraId="0153AD99" w14:textId="77777777" w:rsidR="0007659A" w:rsidRPr="00582936" w:rsidRDefault="0007659A">
      <w:pPr>
        <w:rPr>
          <w:rFonts w:ascii="Century Gothic" w:hAnsi="Century Gothic"/>
          <w:color w:val="6E6E7C"/>
        </w:rPr>
      </w:pPr>
    </w:p>
    <w:p w14:paraId="02377976" w14:textId="77777777" w:rsidR="0007659A" w:rsidRPr="00582936" w:rsidRDefault="0007659A">
      <w:pPr>
        <w:rPr>
          <w:rFonts w:ascii="Century Gothic" w:hAnsi="Century Gothic"/>
          <w:color w:val="6E6E7C"/>
        </w:rPr>
      </w:pPr>
    </w:p>
    <w:p w14:paraId="253B6429" w14:textId="77777777" w:rsidR="0007659A" w:rsidRPr="00582936" w:rsidRDefault="0007659A">
      <w:pPr>
        <w:rPr>
          <w:rFonts w:ascii="Century Gothic" w:hAnsi="Century Gothic"/>
          <w:color w:val="6E6E7C"/>
        </w:rPr>
      </w:pPr>
    </w:p>
    <w:p w14:paraId="727E3206" w14:textId="77777777" w:rsidR="0007659A" w:rsidRPr="00582936" w:rsidRDefault="0007659A">
      <w:pPr>
        <w:rPr>
          <w:rFonts w:ascii="Century Gothic" w:hAnsi="Century Gothic"/>
          <w:color w:val="6E6E7C"/>
        </w:rPr>
      </w:pPr>
    </w:p>
    <w:p w14:paraId="6E51F96A" w14:textId="77777777" w:rsidR="0007659A" w:rsidRPr="00582936" w:rsidRDefault="0007659A">
      <w:pPr>
        <w:rPr>
          <w:rFonts w:ascii="Century Gothic" w:hAnsi="Century Gothic"/>
          <w:color w:val="6E6E7C"/>
        </w:rPr>
      </w:pPr>
    </w:p>
    <w:p w14:paraId="59DA4906" w14:textId="77777777" w:rsidR="0007659A" w:rsidRPr="00582936" w:rsidRDefault="0007659A">
      <w:pPr>
        <w:rPr>
          <w:rFonts w:ascii="Century Gothic" w:hAnsi="Century Gothic"/>
          <w:color w:val="6E6E7C"/>
        </w:rPr>
      </w:pPr>
    </w:p>
    <w:p w14:paraId="26304C37" w14:textId="77777777" w:rsidR="0007659A" w:rsidRPr="00582936" w:rsidRDefault="0007659A">
      <w:pPr>
        <w:rPr>
          <w:rFonts w:ascii="Century Gothic" w:hAnsi="Century Gothic"/>
          <w:color w:val="6E6E7C"/>
        </w:rPr>
      </w:pPr>
    </w:p>
    <w:p w14:paraId="25E89613" w14:textId="77777777" w:rsidR="0007659A" w:rsidRPr="00582936" w:rsidRDefault="0007659A">
      <w:pPr>
        <w:rPr>
          <w:rFonts w:ascii="Century Gothic" w:hAnsi="Century Gothic"/>
          <w:color w:val="6E6E7C"/>
        </w:rPr>
      </w:pPr>
    </w:p>
    <w:sectPr w:rsidR="0007659A" w:rsidRPr="00582936" w:rsidSect="00957723">
      <w:headerReference w:type="default" r:id="rId42"/>
      <w:footerReference w:type="even" r:id="rId43"/>
      <w:footerReference w:type="default" r:id="rId44"/>
      <w:pgSz w:w="11900" w:h="16840"/>
      <w:pgMar w:top="1417" w:right="1701" w:bottom="1417" w:left="1701"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6E1359A" w16cex:dateUtc="2024-02-08T20: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315613D" w16cid:durableId="36E1359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C30F20" w14:textId="77777777" w:rsidR="00CF62CF" w:rsidRDefault="00CF62CF" w:rsidP="0007659A">
      <w:r>
        <w:separator/>
      </w:r>
    </w:p>
  </w:endnote>
  <w:endnote w:type="continuationSeparator" w:id="0">
    <w:p w14:paraId="6600A447" w14:textId="77777777" w:rsidR="00CF62CF" w:rsidRDefault="00CF62CF"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parajita">
    <w:charset w:val="00"/>
    <w:family w:val="swiss"/>
    <w:pitch w:val="variable"/>
    <w:sig w:usb0="00008003" w:usb1="00000000" w:usb2="00000000" w:usb3="00000000" w:csb0="00000001" w:csb1="00000000"/>
  </w:font>
  <w:font w:name="Open Sans">
    <w:altName w:val="Tahoma"/>
    <w:charset w:val="00"/>
    <w:family w:val="swiss"/>
    <w:pitch w:val="variable"/>
    <w:sig w:usb0="00000001"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Dotum">
    <w:altName w:val="돋움"/>
    <w:panose1 w:val="020B0600000101010101"/>
    <w:charset w:val="81"/>
    <w:family w:val="moder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890537725"/>
      <w:docPartObj>
        <w:docPartGallery w:val="Page Numbers (Bottom of Page)"/>
        <w:docPartUnique/>
      </w:docPartObj>
    </w:sdtPr>
    <w:sdtContent>
      <w:p w14:paraId="7B62AD17" w14:textId="77777777" w:rsidR="00746E03" w:rsidRDefault="00746E03" w:rsidP="00666DB5">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3973588" w14:textId="77777777" w:rsidR="00746E03" w:rsidRDefault="00746E03" w:rsidP="0071159C">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Fonts w:ascii="Century Gothic" w:hAnsi="Century Gothic"/>
      </w:rPr>
      <w:id w:val="493843830"/>
      <w:docPartObj>
        <w:docPartGallery w:val="Page Numbers (Bottom of Page)"/>
        <w:docPartUnique/>
      </w:docPartObj>
    </w:sdtPr>
    <w:sdtContent>
      <w:p w14:paraId="703DB72A" w14:textId="77777777" w:rsidR="00746E03" w:rsidRPr="00D70E6F" w:rsidRDefault="00746E03" w:rsidP="00666DB5">
        <w:pPr>
          <w:pStyle w:val="Piedepgina"/>
          <w:framePr w:wrap="none" w:vAnchor="text" w:hAnchor="margin" w:xAlign="right" w:y="1"/>
          <w:rPr>
            <w:rStyle w:val="Nmerodepgina"/>
            <w:rFonts w:ascii="Century Gothic" w:hAnsi="Century Gothic"/>
          </w:rPr>
        </w:pPr>
        <w:r w:rsidRPr="00D70E6F">
          <w:rPr>
            <w:rStyle w:val="Nmerodepgina"/>
            <w:rFonts w:ascii="Century Gothic" w:hAnsi="Century Gothic"/>
          </w:rPr>
          <w:fldChar w:fldCharType="begin"/>
        </w:r>
        <w:r w:rsidRPr="00D70E6F">
          <w:rPr>
            <w:rStyle w:val="Nmerodepgina"/>
            <w:rFonts w:ascii="Century Gothic" w:hAnsi="Century Gothic"/>
          </w:rPr>
          <w:instrText xml:space="preserve"> PAGE </w:instrText>
        </w:r>
        <w:r w:rsidRPr="00D70E6F">
          <w:rPr>
            <w:rStyle w:val="Nmerodepgina"/>
            <w:rFonts w:ascii="Century Gothic" w:hAnsi="Century Gothic"/>
          </w:rPr>
          <w:fldChar w:fldCharType="separate"/>
        </w:r>
        <w:r w:rsidR="005873C5">
          <w:rPr>
            <w:rStyle w:val="Nmerodepgina"/>
            <w:rFonts w:ascii="Century Gothic" w:hAnsi="Century Gothic"/>
            <w:noProof/>
          </w:rPr>
          <w:t>82</w:t>
        </w:r>
        <w:r w:rsidRPr="00D70E6F">
          <w:rPr>
            <w:rStyle w:val="Nmerodepgina"/>
            <w:rFonts w:ascii="Century Gothic" w:hAnsi="Century Gothic"/>
          </w:rPr>
          <w:fldChar w:fldCharType="end"/>
        </w:r>
      </w:p>
    </w:sdtContent>
  </w:sdt>
  <w:p w14:paraId="0AA8BBAD" w14:textId="77777777" w:rsidR="00746E03" w:rsidRPr="00D70E6F" w:rsidRDefault="00746E03" w:rsidP="0071159C">
    <w:pPr>
      <w:pStyle w:val="Piedepgina"/>
      <w:ind w:right="360"/>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27A55F" w14:textId="77777777" w:rsidR="00CF62CF" w:rsidRDefault="00CF62CF" w:rsidP="0007659A">
      <w:r>
        <w:separator/>
      </w:r>
    </w:p>
  </w:footnote>
  <w:footnote w:type="continuationSeparator" w:id="0">
    <w:p w14:paraId="0F32845D" w14:textId="77777777" w:rsidR="00CF62CF" w:rsidRDefault="00CF62CF" w:rsidP="0007659A">
      <w:r>
        <w:continuationSeparator/>
      </w:r>
    </w:p>
  </w:footnote>
  <w:footnote w:id="1">
    <w:p w14:paraId="54A98D16" w14:textId="77777777" w:rsidR="00746E03" w:rsidRPr="001522B0" w:rsidRDefault="00746E03" w:rsidP="006A74FA">
      <w:pPr>
        <w:pStyle w:val="Textonotapie"/>
        <w:rPr>
          <w:rFonts w:ascii="Century Gothic" w:eastAsia="Century Gothic" w:hAnsi="Century Gothic" w:cs="Arial"/>
          <w:iCs/>
          <w:color w:val="6E6E7C"/>
          <w:sz w:val="16"/>
          <w:szCs w:val="16"/>
          <w:lang w:val="es-ES" w:eastAsia="es-ES" w:bidi="es-ES"/>
        </w:rPr>
      </w:pPr>
      <w:r w:rsidRPr="001522B0">
        <w:rPr>
          <w:rFonts w:ascii="Century Gothic" w:eastAsia="Century Gothic" w:hAnsi="Century Gothic" w:cs="Arial"/>
          <w:iCs/>
          <w:color w:val="6E6E7C"/>
          <w:sz w:val="16"/>
          <w:szCs w:val="16"/>
          <w:lang w:val="es-ES" w:eastAsia="es-ES" w:bidi="es-ES"/>
        </w:rPr>
        <w:footnoteRef/>
      </w:r>
      <w:r w:rsidRPr="001522B0">
        <w:rPr>
          <w:rFonts w:ascii="Century Gothic" w:eastAsia="Century Gothic" w:hAnsi="Century Gothic" w:cs="Arial"/>
          <w:iCs/>
          <w:color w:val="6E6E7C"/>
          <w:sz w:val="16"/>
          <w:szCs w:val="16"/>
          <w:lang w:val="es-ES" w:eastAsia="es-ES" w:bidi="es-ES"/>
        </w:rPr>
        <w:t xml:space="preserve"> La ENESEM se investiga a partir del año de referencia 2016, anteriormente las encuestas a empresas se realizaron a través de las Encuestas Industriales: Encuesta de Manufactura, Minería y Construcción; Encuesta de Comercio Interno; Encuesta de Hoteles, Restaurantes y Servicios.</w:t>
      </w:r>
    </w:p>
  </w:footnote>
  <w:footnote w:id="2">
    <w:p w14:paraId="07967670" w14:textId="77777777" w:rsidR="00746E03" w:rsidRPr="0085733F" w:rsidRDefault="00746E03" w:rsidP="006A74FA">
      <w:pPr>
        <w:pStyle w:val="Textonotapie"/>
        <w:rPr>
          <w:rFonts w:ascii="Century Gothic" w:eastAsia="Calibri" w:hAnsi="Century Gothic" w:cs="Arial"/>
          <w:iCs/>
          <w:color w:val="6E6E7C"/>
          <w:sz w:val="16"/>
          <w:szCs w:val="16"/>
          <w:lang w:eastAsia="es-EC"/>
        </w:rPr>
      </w:pPr>
      <w:r w:rsidRPr="00582936">
        <w:rPr>
          <w:rFonts w:ascii="Century Gothic" w:eastAsia="Calibri" w:hAnsi="Century Gothic" w:cs="Arial"/>
          <w:iCs/>
          <w:color w:val="6E6E7C"/>
          <w:sz w:val="16"/>
          <w:szCs w:val="16"/>
          <w:lang w:eastAsia="es-EC"/>
        </w:rPr>
        <w:footnoteRef/>
      </w:r>
      <w:r w:rsidRPr="0085733F">
        <w:rPr>
          <w:rFonts w:ascii="Century Gothic" w:eastAsia="Calibri" w:hAnsi="Century Gothic" w:cs="Arial"/>
          <w:iCs/>
          <w:color w:val="6E6E7C"/>
          <w:sz w:val="16"/>
          <w:szCs w:val="16"/>
          <w:lang w:eastAsia="es-EC"/>
        </w:rPr>
        <w:t xml:space="preserve"> “El Sistema Estadístico Nacional estará orientado a la investigación, estudio, planificación, producción, publicación y distribución de las estadísticas (…)</w:t>
      </w:r>
      <w:r>
        <w:rPr>
          <w:rFonts w:ascii="Century Gothic" w:eastAsia="Calibri" w:hAnsi="Century Gothic" w:cs="Arial"/>
          <w:iCs/>
          <w:color w:val="6E6E7C"/>
          <w:sz w:val="16"/>
          <w:szCs w:val="16"/>
          <w:lang w:eastAsia="es-EC"/>
        </w:rPr>
        <w:t xml:space="preserve"> </w:t>
      </w:r>
      <w:r w:rsidRPr="0085733F">
        <w:rPr>
          <w:rFonts w:ascii="Century Gothic" w:eastAsia="Calibri" w:hAnsi="Century Gothic" w:cs="Arial"/>
          <w:iCs/>
          <w:color w:val="6E6E7C"/>
          <w:sz w:val="16"/>
          <w:szCs w:val="16"/>
          <w:lang w:eastAsia="es-EC"/>
        </w:rPr>
        <w:t>para los programas de desarrollo, de acuerdo con la realidad nacional”</w:t>
      </w:r>
      <w:r>
        <w:rPr>
          <w:rFonts w:ascii="Century Gothic" w:eastAsia="Calibri" w:hAnsi="Century Gothic" w:cs="Arial"/>
          <w:iCs/>
          <w:color w:val="6E6E7C"/>
          <w:sz w:val="16"/>
          <w:szCs w:val="16"/>
          <w:lang w:eastAsia="es-EC"/>
        </w:rPr>
        <w:t>.</w:t>
      </w:r>
    </w:p>
  </w:footnote>
  <w:footnote w:id="3">
    <w:p w14:paraId="324A5A50" w14:textId="77777777" w:rsidR="00746E03" w:rsidRPr="0085733F" w:rsidRDefault="00746E03" w:rsidP="006A74FA">
      <w:pPr>
        <w:pStyle w:val="Textonotapie"/>
        <w:rPr>
          <w:rFonts w:ascii="Century Gothic" w:eastAsia="Calibri" w:hAnsi="Century Gothic" w:cs="Arial"/>
          <w:iCs/>
          <w:color w:val="6E6E7C"/>
          <w:sz w:val="16"/>
          <w:szCs w:val="16"/>
          <w:lang w:eastAsia="es-EC"/>
        </w:rPr>
      </w:pPr>
      <w:r w:rsidRPr="0085733F">
        <w:rPr>
          <w:rFonts w:ascii="Century Gothic" w:eastAsia="Calibri" w:hAnsi="Century Gothic" w:cs="Arial"/>
          <w:iCs/>
          <w:color w:val="6E6E7C"/>
          <w:sz w:val="16"/>
          <w:szCs w:val="16"/>
          <w:lang w:eastAsia="es-EC"/>
        </w:rPr>
        <w:footnoteRef/>
      </w:r>
      <w:r w:rsidRPr="0085733F">
        <w:rPr>
          <w:rFonts w:ascii="Century Gothic" w:eastAsia="Calibri" w:hAnsi="Century Gothic" w:cs="Arial"/>
          <w:iCs/>
          <w:color w:val="6E6E7C"/>
          <w:sz w:val="16"/>
          <w:szCs w:val="16"/>
          <w:lang w:eastAsia="es-EC"/>
        </w:rPr>
        <w:t xml:space="preserve"> “</w:t>
      </w:r>
      <w:r>
        <w:rPr>
          <w:rFonts w:ascii="Century Gothic" w:eastAsia="Calibri" w:hAnsi="Century Gothic" w:cs="Arial"/>
          <w:iCs/>
          <w:color w:val="6E6E7C"/>
          <w:sz w:val="16"/>
          <w:szCs w:val="16"/>
          <w:lang w:eastAsia="es-EC"/>
        </w:rPr>
        <w:t>T</w:t>
      </w:r>
      <w:r w:rsidRPr="006A74FA">
        <w:rPr>
          <w:rFonts w:ascii="Century Gothic" w:eastAsia="Calibri" w:hAnsi="Century Gothic" w:cs="Arial"/>
          <w:iCs/>
          <w:color w:val="6E6E7C"/>
          <w:sz w:val="16"/>
          <w:szCs w:val="16"/>
          <w:lang w:eastAsia="es-EC"/>
        </w:rPr>
        <w:t>odas las personas naturales o jurídicas domiciliadas, residentes, o que tengan alguna actividad en el país, sin exclusión alguna, están obligadas a suministrar, cuando sean legalmente requeridas, los datos o informaciones exclusivamente de carácter estadístico o censal</w:t>
      </w:r>
      <w:r w:rsidRPr="0085733F">
        <w:rPr>
          <w:rFonts w:ascii="Century Gothic" w:eastAsia="Calibri" w:hAnsi="Century Gothic" w:cs="Arial"/>
          <w:iCs/>
          <w:color w:val="6E6E7C"/>
          <w:sz w:val="16"/>
          <w:szCs w:val="16"/>
          <w:lang w:eastAsia="es-EC"/>
        </w:rPr>
        <w:t>”</w:t>
      </w:r>
      <w:r>
        <w:rPr>
          <w:rFonts w:ascii="Century Gothic" w:eastAsia="Calibri" w:hAnsi="Century Gothic" w:cs="Arial"/>
          <w:iCs/>
          <w:color w:val="6E6E7C"/>
          <w:sz w:val="16"/>
          <w:szCs w:val="16"/>
          <w:lang w:eastAsia="es-EC"/>
        </w:rPr>
        <w:t>.</w:t>
      </w:r>
    </w:p>
  </w:footnote>
  <w:footnote w:id="4">
    <w:p w14:paraId="69778EAB" w14:textId="77777777" w:rsidR="00746E03" w:rsidRPr="0085733F" w:rsidRDefault="00746E03" w:rsidP="006A74FA">
      <w:pPr>
        <w:pStyle w:val="Textonotapie"/>
        <w:rPr>
          <w:rFonts w:ascii="Century Gothic" w:eastAsia="Calibri" w:hAnsi="Century Gothic" w:cs="Arial"/>
          <w:iCs/>
          <w:color w:val="6E6E7C"/>
          <w:sz w:val="16"/>
          <w:szCs w:val="16"/>
          <w:lang w:eastAsia="es-EC"/>
        </w:rPr>
      </w:pPr>
      <w:r w:rsidRPr="0085733F">
        <w:rPr>
          <w:rFonts w:ascii="Century Gothic" w:eastAsia="Calibri" w:hAnsi="Century Gothic" w:cs="Arial"/>
          <w:iCs/>
          <w:color w:val="6E6E7C"/>
          <w:sz w:val="16"/>
          <w:szCs w:val="16"/>
          <w:lang w:eastAsia="es-EC"/>
        </w:rPr>
        <w:footnoteRef/>
      </w:r>
      <w:r w:rsidRPr="0085733F">
        <w:rPr>
          <w:rFonts w:ascii="Century Gothic" w:eastAsia="Calibri" w:hAnsi="Century Gothic" w:cs="Arial"/>
          <w:iCs/>
          <w:color w:val="6E6E7C"/>
          <w:sz w:val="16"/>
          <w:szCs w:val="16"/>
          <w:lang w:eastAsia="es-EC"/>
        </w:rPr>
        <w:t xml:space="preserve"> “Los datos individuales que se obtengan para efecto de estadística y censos son de carácter reservado; en consecuencia, no podrán darse a conocer informaciones individuales (…)”</w:t>
      </w:r>
    </w:p>
  </w:footnote>
  <w:footnote w:id="5">
    <w:p w14:paraId="2AA92DA2" w14:textId="77777777" w:rsidR="00746E03" w:rsidRPr="0085733F" w:rsidRDefault="00746E03" w:rsidP="006A74FA">
      <w:pPr>
        <w:pStyle w:val="Textonotapie"/>
        <w:rPr>
          <w:rFonts w:ascii="Century Gothic" w:hAnsi="Century Gothic" w:cs="Arial"/>
          <w:sz w:val="16"/>
          <w:szCs w:val="16"/>
          <w:lang w:val="es-ES"/>
        </w:rPr>
      </w:pPr>
      <w:r w:rsidRPr="0085733F">
        <w:rPr>
          <w:rFonts w:ascii="Century Gothic" w:eastAsia="Calibri" w:hAnsi="Century Gothic" w:cs="Arial"/>
          <w:iCs/>
          <w:color w:val="6E6E7C"/>
          <w:sz w:val="16"/>
          <w:szCs w:val="16"/>
          <w:lang w:eastAsia="es-EC"/>
        </w:rPr>
        <w:footnoteRef/>
      </w:r>
      <w:r w:rsidRPr="0085733F">
        <w:rPr>
          <w:rFonts w:ascii="Century Gothic" w:eastAsia="Calibri" w:hAnsi="Century Gothic" w:cs="Arial"/>
          <w:iCs/>
          <w:color w:val="6E6E7C"/>
          <w:sz w:val="16"/>
          <w:szCs w:val="16"/>
          <w:lang w:eastAsia="es-EC"/>
        </w:rPr>
        <w:t xml:space="preserve"> “Toda persona que suministrare datos o informaciones falsas, o no los entregare en su oportunidad, será sancionada por el Juez de Contravenciones (…)</w:t>
      </w:r>
      <w:r>
        <w:rPr>
          <w:rFonts w:ascii="Century Gothic" w:eastAsia="Calibri" w:hAnsi="Century Gothic" w:cs="Arial"/>
          <w:iCs/>
          <w:color w:val="6E6E7C"/>
          <w:sz w:val="16"/>
          <w:szCs w:val="16"/>
          <w:lang w:eastAsia="es-EC"/>
        </w:rPr>
        <w:t>”</w:t>
      </w:r>
    </w:p>
  </w:footnote>
  <w:footnote w:id="6">
    <w:p w14:paraId="37486ED4" w14:textId="77777777" w:rsidR="00746E03" w:rsidRPr="003A4122" w:rsidRDefault="00746E03" w:rsidP="006A74FA">
      <w:pPr>
        <w:pStyle w:val="Textonotapie"/>
        <w:rPr>
          <w:rFonts w:ascii="Century Gothic" w:eastAsia="Century Gothic" w:hAnsi="Century Gothic" w:cs="Arial"/>
          <w:iCs/>
          <w:color w:val="6E6E7C"/>
          <w:sz w:val="16"/>
          <w:szCs w:val="16"/>
          <w:lang w:val="es-ES" w:eastAsia="es-ES" w:bidi="es-ES"/>
        </w:rPr>
      </w:pPr>
      <w:r w:rsidRPr="0085733F">
        <w:rPr>
          <w:rFonts w:ascii="Century Gothic" w:eastAsia="Century Gothic" w:hAnsi="Century Gothic" w:cs="Arial"/>
          <w:iCs/>
          <w:color w:val="6E6E7C"/>
          <w:sz w:val="16"/>
          <w:szCs w:val="16"/>
          <w:lang w:val="es-ES" w:eastAsia="es-ES" w:bidi="es-ES"/>
        </w:rPr>
        <w:footnoteRef/>
      </w:r>
      <w:r>
        <w:rPr>
          <w:rFonts w:ascii="Century Gothic" w:eastAsia="Century Gothic" w:hAnsi="Century Gothic" w:cs="Arial"/>
          <w:iCs/>
          <w:color w:val="6E6E7C"/>
          <w:sz w:val="16"/>
          <w:szCs w:val="16"/>
          <w:lang w:val="es-ES" w:eastAsia="es-ES" w:bidi="es-ES"/>
        </w:rPr>
        <w:t xml:space="preserve">  Ver apartado 1.6</w:t>
      </w:r>
      <w:r w:rsidRPr="0085733F">
        <w:rPr>
          <w:rFonts w:ascii="Century Gothic" w:eastAsia="Century Gothic" w:hAnsi="Century Gothic" w:cs="Arial"/>
          <w:iCs/>
          <w:color w:val="6E6E7C"/>
          <w:sz w:val="16"/>
          <w:szCs w:val="16"/>
          <w:lang w:val="es-ES" w:eastAsia="es-ES" w:bidi="es-ES"/>
        </w:rPr>
        <w:t xml:space="preserve"> correspondiente a la limitación de la encuesta</w:t>
      </w:r>
      <w:r w:rsidRPr="003A4122">
        <w:rPr>
          <w:rFonts w:ascii="Century Gothic" w:eastAsia="Century Gothic" w:hAnsi="Century Gothic" w:cs="Arial"/>
          <w:iCs/>
          <w:color w:val="6E6E7C"/>
          <w:sz w:val="16"/>
          <w:szCs w:val="16"/>
          <w:lang w:val="es-ES" w:eastAsia="es-ES" w:bidi="es-ES"/>
        </w:rPr>
        <w:t>.</w:t>
      </w:r>
    </w:p>
  </w:footnote>
  <w:footnote w:id="7">
    <w:p w14:paraId="3F5AC97C" w14:textId="1C1102B4" w:rsidR="00746E03" w:rsidRPr="003A4122" w:rsidRDefault="00746E03" w:rsidP="003A4122">
      <w:pPr>
        <w:pStyle w:val="Textonotapie"/>
        <w:rPr>
          <w:rFonts w:ascii="Century Gothic" w:eastAsia="Century Gothic" w:hAnsi="Century Gothic" w:cs="Arial"/>
          <w:iCs/>
          <w:color w:val="6E6E7C"/>
          <w:sz w:val="16"/>
          <w:szCs w:val="16"/>
          <w:lang w:val="es-ES" w:eastAsia="es-ES" w:bidi="es-ES"/>
        </w:rPr>
      </w:pPr>
      <w:r w:rsidRPr="003A4122">
        <w:rPr>
          <w:rFonts w:ascii="Century Gothic" w:eastAsia="Century Gothic" w:hAnsi="Century Gothic" w:cs="Arial"/>
          <w:iCs/>
          <w:color w:val="6E6E7C"/>
          <w:sz w:val="16"/>
          <w:szCs w:val="16"/>
          <w:lang w:val="es-ES" w:eastAsia="es-ES" w:bidi="es-ES"/>
        </w:rPr>
        <w:footnoteRef/>
      </w:r>
      <w:r w:rsidRPr="003A4122">
        <w:rPr>
          <w:rFonts w:ascii="Century Gothic" w:eastAsia="Century Gothic" w:hAnsi="Century Gothic" w:cs="Arial"/>
          <w:iCs/>
          <w:color w:val="6E6E7C"/>
          <w:sz w:val="16"/>
          <w:szCs w:val="16"/>
          <w:lang w:val="es-ES" w:eastAsia="es-ES" w:bidi="es-ES"/>
        </w:rPr>
        <w:t xml:space="preserve"> </w:t>
      </w:r>
      <w:r>
        <w:rPr>
          <w:rFonts w:ascii="Century Gothic" w:eastAsia="Century Gothic" w:hAnsi="Century Gothic" w:cs="Arial"/>
          <w:iCs/>
          <w:color w:val="6E6E7C"/>
          <w:sz w:val="16"/>
          <w:szCs w:val="16"/>
          <w:lang w:val="es-ES" w:eastAsia="es-ES" w:bidi="es-ES"/>
        </w:rPr>
        <w:t>Del total de empresas efectivas (3.956), cinco (5) no</w:t>
      </w:r>
      <w:r w:rsidRPr="003A4122">
        <w:rPr>
          <w:rFonts w:ascii="Century Gothic" w:eastAsia="Century Gothic" w:hAnsi="Century Gothic" w:cs="Arial"/>
          <w:iCs/>
          <w:color w:val="6E6E7C"/>
          <w:sz w:val="16"/>
          <w:szCs w:val="16"/>
          <w:lang w:val="es-ES" w:eastAsia="es-ES" w:bidi="es-ES"/>
        </w:rPr>
        <w:t xml:space="preserve"> contarán con </w:t>
      </w:r>
      <w:r>
        <w:rPr>
          <w:rFonts w:ascii="Century Gothic" w:eastAsia="Century Gothic" w:hAnsi="Century Gothic" w:cs="Arial"/>
          <w:iCs/>
          <w:color w:val="6E6E7C"/>
          <w:sz w:val="16"/>
          <w:szCs w:val="16"/>
          <w:lang w:val="es-ES" w:eastAsia="es-ES" w:bidi="es-ES"/>
        </w:rPr>
        <w:t>factor de expansión, esto se debe</w:t>
      </w:r>
      <w:r w:rsidRPr="003A4122">
        <w:rPr>
          <w:rFonts w:ascii="Century Gothic" w:eastAsia="Century Gothic" w:hAnsi="Century Gothic" w:cs="Arial"/>
          <w:iCs/>
          <w:color w:val="6E6E7C"/>
          <w:sz w:val="16"/>
          <w:szCs w:val="16"/>
          <w:lang w:val="es-ES" w:eastAsia="es-ES" w:bidi="es-ES"/>
        </w:rPr>
        <w:t xml:space="preserve"> a que</w:t>
      </w:r>
      <w:r>
        <w:rPr>
          <w:rFonts w:ascii="Century Gothic" w:eastAsia="Century Gothic" w:hAnsi="Century Gothic" w:cs="Arial"/>
          <w:iCs/>
          <w:color w:val="6E6E7C"/>
          <w:sz w:val="16"/>
          <w:szCs w:val="16"/>
          <w:lang w:val="es-ES" w:eastAsia="es-ES" w:bidi="es-ES"/>
        </w:rPr>
        <w:t xml:space="preserve"> no cumplen con el alcance de investigación de la Encuesta Estructural Empresarial (ENESEM).</w:t>
      </w:r>
    </w:p>
  </w:footnote>
  <w:footnote w:id="8">
    <w:p w14:paraId="70D07FB9" w14:textId="77777777" w:rsidR="00746E03" w:rsidRPr="00BD0CD2" w:rsidRDefault="00746E03" w:rsidP="006A74FA">
      <w:pPr>
        <w:pStyle w:val="Textonotapie"/>
        <w:rPr>
          <w:rFonts w:ascii="Century Gothic" w:hAnsi="Century Gothic"/>
          <w:sz w:val="16"/>
          <w:szCs w:val="16"/>
        </w:rPr>
      </w:pPr>
      <w:r w:rsidRPr="00BD0CD2">
        <w:rPr>
          <w:rFonts w:ascii="Century Gothic" w:eastAsia="Calibri" w:hAnsi="Century Gothic" w:cs="Arial"/>
          <w:iCs/>
          <w:color w:val="6E6E7C"/>
          <w:sz w:val="16"/>
          <w:szCs w:val="16"/>
          <w:lang w:eastAsia="es-EC"/>
        </w:rPr>
        <w:footnoteRef/>
      </w:r>
      <w:r w:rsidRPr="00BD0CD2">
        <w:rPr>
          <w:rFonts w:ascii="Century Gothic" w:eastAsia="Calibri" w:hAnsi="Century Gothic" w:cs="Arial"/>
          <w:iCs/>
          <w:color w:val="6E6E7C"/>
          <w:sz w:val="16"/>
          <w:szCs w:val="16"/>
          <w:lang w:eastAsia="es-EC"/>
        </w:rPr>
        <w:t xml:space="preserve"> Las TIC son el conjunto</w:t>
      </w:r>
      <w:r w:rsidRPr="00BD0CD2">
        <w:rPr>
          <w:rFonts w:ascii="Century Gothic" w:hAnsi="Century Gothic"/>
          <w:color w:val="7F7F7F"/>
          <w:sz w:val="16"/>
          <w:szCs w:val="16"/>
        </w:rPr>
        <w:t xml:space="preserve"> de tecnologías desarrolladas en la actualidad para una información y comunicación más eficiente.</w:t>
      </w:r>
    </w:p>
  </w:footnote>
  <w:footnote w:id="9">
    <w:p w14:paraId="09C0CBB4" w14:textId="09CA4B6A" w:rsidR="00746E03" w:rsidRPr="00582936" w:rsidRDefault="00746E03" w:rsidP="006A74FA">
      <w:pPr>
        <w:pStyle w:val="Textonotapie"/>
        <w:rPr>
          <w:rFonts w:ascii="Century Gothic" w:hAnsi="Century Gothic"/>
          <w:color w:val="6E6E7C"/>
        </w:rPr>
      </w:pPr>
      <w:r w:rsidRPr="00582936">
        <w:rPr>
          <w:rFonts w:ascii="Century Gothic" w:hAnsi="Century Gothic"/>
          <w:color w:val="6E6E7C"/>
          <w:sz w:val="16"/>
          <w:szCs w:val="14"/>
        </w:rPr>
        <w:footnoteRef/>
      </w:r>
      <w:r w:rsidRPr="00582936">
        <w:rPr>
          <w:rFonts w:ascii="Century Gothic" w:hAnsi="Century Gothic"/>
          <w:color w:val="6E6E7C"/>
          <w:sz w:val="16"/>
          <w:szCs w:val="14"/>
        </w:rPr>
        <w:t xml:space="preserve"> El Registro Estadístico de Empresas (REEM), antiguamente Directorio de Empresas y Establecimientos (DIEE), genera información estadística sobre la estructura empresarial ecuatoriana a partir de registros administrativos </w:t>
      </w:r>
      <w:sdt>
        <w:sdtPr>
          <w:rPr>
            <w:rFonts w:ascii="Century Gothic" w:hAnsi="Century Gothic"/>
            <w:color w:val="6E6E7C"/>
            <w:sz w:val="16"/>
            <w:szCs w:val="14"/>
          </w:rPr>
          <w:id w:val="-611595301"/>
          <w:citation/>
        </w:sdtPr>
        <w:sdtContent>
          <w:r w:rsidRPr="00582936">
            <w:rPr>
              <w:rFonts w:ascii="Century Gothic" w:hAnsi="Century Gothic"/>
              <w:color w:val="6E6E7C"/>
              <w:sz w:val="16"/>
              <w:szCs w:val="14"/>
            </w:rPr>
            <w:fldChar w:fldCharType="begin"/>
          </w:r>
          <w:r>
            <w:rPr>
              <w:rFonts w:ascii="Century Gothic" w:hAnsi="Century Gothic"/>
              <w:color w:val="6E6E7C"/>
              <w:sz w:val="16"/>
              <w:szCs w:val="14"/>
            </w:rPr>
            <w:instrText xml:space="preserve">CITATION INE21 \l 3082 </w:instrText>
          </w:r>
          <w:r w:rsidRPr="00582936">
            <w:rPr>
              <w:rFonts w:ascii="Century Gothic" w:hAnsi="Century Gothic"/>
              <w:color w:val="6E6E7C"/>
              <w:sz w:val="16"/>
              <w:szCs w:val="14"/>
            </w:rPr>
            <w:fldChar w:fldCharType="separate"/>
          </w:r>
          <w:r w:rsidRPr="00691263">
            <w:rPr>
              <w:rFonts w:ascii="Century Gothic" w:hAnsi="Century Gothic"/>
              <w:noProof/>
              <w:color w:val="6E6E7C"/>
              <w:sz w:val="16"/>
              <w:szCs w:val="14"/>
            </w:rPr>
            <w:t>(INEC, 2022)</w:t>
          </w:r>
          <w:r w:rsidRPr="00582936">
            <w:rPr>
              <w:rFonts w:ascii="Century Gothic" w:hAnsi="Century Gothic"/>
              <w:color w:val="6E6E7C"/>
              <w:sz w:val="16"/>
              <w:szCs w:val="14"/>
            </w:rPr>
            <w:fldChar w:fldCharType="end"/>
          </w:r>
        </w:sdtContent>
      </w:sdt>
    </w:p>
  </w:footnote>
  <w:footnote w:id="10">
    <w:p w14:paraId="445376A8" w14:textId="77777777" w:rsidR="00746E03" w:rsidRPr="00BD0CD2" w:rsidRDefault="00746E03" w:rsidP="006A74FA">
      <w:pPr>
        <w:pStyle w:val="Textonotapie"/>
        <w:rPr>
          <w:rFonts w:ascii="Century Gothic" w:hAnsi="Century Gothic"/>
          <w:sz w:val="14"/>
          <w:szCs w:val="14"/>
        </w:rPr>
      </w:pPr>
      <w:r w:rsidRPr="00BD0CD2">
        <w:rPr>
          <w:rFonts w:ascii="Century Gothic" w:hAnsi="Century Gothic"/>
          <w:color w:val="767171" w:themeColor="background2" w:themeShade="80"/>
          <w:sz w:val="16"/>
          <w:szCs w:val="14"/>
        </w:rPr>
        <w:footnoteRef/>
      </w:r>
      <w:r w:rsidRPr="00BD0CD2">
        <w:rPr>
          <w:rFonts w:ascii="Century Gothic" w:hAnsi="Century Gothic"/>
          <w:color w:val="767171" w:themeColor="background2" w:themeShade="80"/>
          <w:sz w:val="16"/>
          <w:szCs w:val="14"/>
        </w:rPr>
        <w:t xml:space="preserve"> Recomendaciones internacionales para estadísticas industriales, 2008, Informes estadísticos, No.90 (publicación de las Naciones Unidas, No. de venta: S.08.XVII.8).</w:t>
      </w:r>
    </w:p>
  </w:footnote>
  <w:footnote w:id="11">
    <w:p w14:paraId="50FBE2B2" w14:textId="7227E670" w:rsidR="00746E03" w:rsidRPr="00691263" w:rsidRDefault="00746E03">
      <w:pPr>
        <w:pStyle w:val="Textonotapie"/>
        <w:rPr>
          <w:rFonts w:ascii="Century Gothic" w:hAnsi="Century Gothic"/>
          <w:color w:val="6E6E7C"/>
          <w:sz w:val="16"/>
          <w:szCs w:val="16"/>
        </w:rPr>
      </w:pPr>
      <w:r w:rsidRPr="00661BE1">
        <w:rPr>
          <w:rFonts w:ascii="Century Gothic" w:hAnsi="Century Gothic"/>
          <w:color w:val="767171" w:themeColor="background2" w:themeShade="80"/>
          <w:sz w:val="16"/>
          <w:szCs w:val="14"/>
        </w:rPr>
        <w:footnoteRef/>
      </w:r>
      <w:r w:rsidRPr="00661BE1">
        <w:rPr>
          <w:rFonts w:ascii="Century Gothic" w:hAnsi="Century Gothic"/>
          <w:b/>
          <w:color w:val="767171" w:themeColor="background2" w:themeShade="80"/>
          <w:sz w:val="16"/>
          <w:szCs w:val="14"/>
        </w:rPr>
        <w:t xml:space="preserve"> Forma Institucional:</w:t>
      </w:r>
      <w:r w:rsidRPr="00661BE1">
        <w:rPr>
          <w:rFonts w:ascii="Century Gothic" w:hAnsi="Century Gothic"/>
          <w:color w:val="767171" w:themeColor="background2" w:themeShade="80"/>
          <w:sz w:val="16"/>
          <w:szCs w:val="14"/>
        </w:rPr>
        <w:t xml:space="preserve"> es una </w:t>
      </w:r>
      <w:proofErr w:type="spellStart"/>
      <w:r w:rsidRPr="00661BE1">
        <w:rPr>
          <w:rFonts w:ascii="Century Gothic" w:hAnsi="Century Gothic"/>
          <w:color w:val="767171" w:themeColor="background2" w:themeShade="80"/>
          <w:sz w:val="16"/>
          <w:szCs w:val="14"/>
        </w:rPr>
        <w:t>subclasificación</w:t>
      </w:r>
      <w:proofErr w:type="spellEnd"/>
      <w:r w:rsidRPr="00661BE1">
        <w:rPr>
          <w:rFonts w:ascii="Century Gothic" w:hAnsi="Century Gothic"/>
          <w:color w:val="767171" w:themeColor="background2" w:themeShade="80"/>
          <w:sz w:val="16"/>
          <w:szCs w:val="14"/>
        </w:rPr>
        <w:t xml:space="preserve"> de la unidad legal de las empresas e instituciones, que permite identificar a las empresas dentro de una tipología más cercana al tipo institucional del Sistema de Cuentas Nacionales, de acuerdo a sus características jurídicas </w:t>
      </w:r>
      <w:sdt>
        <w:sdtPr>
          <w:rPr>
            <w:rFonts w:ascii="Century Gothic" w:hAnsi="Century Gothic"/>
            <w:color w:val="767171" w:themeColor="background2" w:themeShade="80"/>
            <w:sz w:val="16"/>
            <w:szCs w:val="14"/>
          </w:rPr>
          <w:id w:val="620273140"/>
          <w:citation/>
        </w:sdtPr>
        <w:sdtContent>
          <w:r w:rsidRPr="00661BE1">
            <w:rPr>
              <w:rFonts w:ascii="Century Gothic" w:hAnsi="Century Gothic"/>
              <w:color w:val="767171" w:themeColor="background2" w:themeShade="80"/>
              <w:sz w:val="16"/>
              <w:szCs w:val="14"/>
            </w:rPr>
            <w:fldChar w:fldCharType="begin"/>
          </w:r>
          <w:r w:rsidRPr="00661BE1">
            <w:rPr>
              <w:rFonts w:ascii="Century Gothic" w:hAnsi="Century Gothic"/>
              <w:color w:val="767171" w:themeColor="background2" w:themeShade="80"/>
              <w:sz w:val="16"/>
              <w:szCs w:val="14"/>
            </w:rPr>
            <w:instrText xml:space="preserve"> CITATION INE21 \l 3082 </w:instrText>
          </w:r>
          <w:r w:rsidRPr="00661BE1">
            <w:rPr>
              <w:rFonts w:ascii="Century Gothic" w:hAnsi="Century Gothic"/>
              <w:color w:val="767171" w:themeColor="background2" w:themeShade="80"/>
              <w:sz w:val="16"/>
              <w:szCs w:val="14"/>
            </w:rPr>
            <w:fldChar w:fldCharType="separate"/>
          </w:r>
          <w:r w:rsidRPr="00661BE1">
            <w:rPr>
              <w:rFonts w:ascii="Century Gothic" w:hAnsi="Century Gothic"/>
              <w:color w:val="767171" w:themeColor="background2" w:themeShade="80"/>
              <w:sz w:val="16"/>
              <w:szCs w:val="14"/>
            </w:rPr>
            <w:t>(INEC, 2022)</w:t>
          </w:r>
          <w:r w:rsidRPr="00661BE1">
            <w:rPr>
              <w:rFonts w:ascii="Century Gothic" w:hAnsi="Century Gothic"/>
              <w:color w:val="767171" w:themeColor="background2" w:themeShade="80"/>
              <w:sz w:val="16"/>
              <w:szCs w:val="14"/>
            </w:rPr>
            <w:fldChar w:fldCharType="end"/>
          </w:r>
        </w:sdtContent>
      </w:sdt>
      <w:r w:rsidRPr="00661BE1">
        <w:rPr>
          <w:rFonts w:ascii="Century Gothic" w:hAnsi="Century Gothic"/>
          <w:color w:val="767171" w:themeColor="background2" w:themeShade="80"/>
          <w:sz w:val="16"/>
          <w:szCs w:val="14"/>
        </w:rPr>
        <w:t>.</w:t>
      </w:r>
    </w:p>
  </w:footnote>
  <w:footnote w:id="12">
    <w:p w14:paraId="6A34B46F" w14:textId="77777777" w:rsidR="00746E03" w:rsidRPr="0085217B" w:rsidRDefault="00746E03" w:rsidP="00BD0CD2">
      <w:pPr>
        <w:jc w:val="both"/>
        <w:rPr>
          <w:rFonts w:ascii="Century Gothic" w:hAnsi="Century Gothic"/>
          <w:sz w:val="16"/>
          <w:szCs w:val="16"/>
        </w:rPr>
      </w:pPr>
      <w:r w:rsidRPr="00BD0CD2">
        <w:rPr>
          <w:rFonts w:ascii="Century Gothic" w:eastAsia="Century Gothic" w:hAnsi="Century Gothic" w:cs="Arial"/>
          <w:iCs/>
          <w:color w:val="6E6E7C"/>
          <w:sz w:val="16"/>
          <w:szCs w:val="16"/>
          <w:lang w:val="es-ES" w:eastAsia="es-ES" w:bidi="es-ES"/>
        </w:rPr>
        <w:footnoteRef/>
      </w:r>
      <w:r w:rsidRPr="00BD0CD2">
        <w:rPr>
          <w:rFonts w:ascii="Century Gothic" w:eastAsia="Century Gothic" w:hAnsi="Century Gothic" w:cs="Arial"/>
          <w:iCs/>
          <w:color w:val="6E6E7C"/>
          <w:sz w:val="16"/>
          <w:szCs w:val="16"/>
          <w:lang w:val="es-ES" w:eastAsia="es-ES" w:bidi="es-ES"/>
        </w:rPr>
        <w:t xml:space="preserve"> De acuerdo</w:t>
      </w:r>
      <w:r w:rsidRPr="00BD0CD2">
        <w:rPr>
          <w:rFonts w:ascii="Century Gothic" w:hAnsi="Century Gothic"/>
          <w:color w:val="767171" w:themeColor="background2" w:themeShade="80"/>
          <w:sz w:val="16"/>
          <w:szCs w:val="16"/>
        </w:rPr>
        <w:t xml:space="preserve"> con la Ley de Compañías de 1999, se entiende como:</w:t>
      </w:r>
      <w:r w:rsidRPr="00BD0CD2">
        <w:rPr>
          <w:rFonts w:ascii="Century Gothic" w:hAnsi="Century Gothic"/>
          <w:b/>
          <w:color w:val="767171" w:themeColor="background2" w:themeShade="80"/>
          <w:sz w:val="16"/>
          <w:szCs w:val="16"/>
        </w:rPr>
        <w:t xml:space="preserve"> Fusión. -</w:t>
      </w:r>
      <w:r w:rsidRPr="00BD0CD2">
        <w:rPr>
          <w:rFonts w:ascii="Century Gothic" w:hAnsi="Century Gothic"/>
          <w:color w:val="767171" w:themeColor="background2" w:themeShade="80"/>
          <w:sz w:val="16"/>
          <w:szCs w:val="16"/>
        </w:rPr>
        <w:t xml:space="preserve"> Cuando dos o más compañías se unen para formar una nueva empresa que les sucede en sus derechos y obligaciones. </w:t>
      </w:r>
      <w:r w:rsidRPr="00BD0CD2">
        <w:rPr>
          <w:rFonts w:ascii="Century Gothic" w:hAnsi="Century Gothic"/>
          <w:b/>
          <w:color w:val="767171" w:themeColor="background2" w:themeShade="80"/>
          <w:sz w:val="16"/>
          <w:szCs w:val="16"/>
        </w:rPr>
        <w:t>Absorción. -</w:t>
      </w:r>
      <w:r w:rsidRPr="00BD0CD2">
        <w:rPr>
          <w:rFonts w:ascii="Century Gothic" w:hAnsi="Century Gothic"/>
          <w:color w:val="767171" w:themeColor="background2" w:themeShade="80"/>
          <w:sz w:val="16"/>
          <w:szCs w:val="16"/>
        </w:rPr>
        <w:t xml:space="preserve"> Cuando una o más compañías son absorbidas por otra que continúa subsistiendo. </w:t>
      </w:r>
      <w:r w:rsidRPr="00BD0CD2">
        <w:rPr>
          <w:rFonts w:ascii="Century Gothic" w:hAnsi="Century Gothic"/>
          <w:b/>
          <w:color w:val="767171" w:themeColor="background2" w:themeShade="80"/>
          <w:sz w:val="16"/>
          <w:szCs w:val="16"/>
        </w:rPr>
        <w:t>Escisión. -</w:t>
      </w:r>
      <w:r w:rsidRPr="00BD0CD2">
        <w:rPr>
          <w:rFonts w:ascii="Century Gothic" w:hAnsi="Century Gothic"/>
          <w:color w:val="767171" w:themeColor="background2" w:themeShade="80"/>
          <w:sz w:val="16"/>
          <w:szCs w:val="16"/>
        </w:rPr>
        <w:t xml:space="preserve"> División de la compañía,</w:t>
      </w:r>
      <w:r w:rsidRPr="0085217B">
        <w:rPr>
          <w:rFonts w:ascii="Century Gothic" w:hAnsi="Century Gothic"/>
          <w:color w:val="767171" w:themeColor="background2" w:themeShade="80"/>
          <w:sz w:val="16"/>
          <w:szCs w:val="16"/>
        </w:rPr>
        <w:t xml:space="preserve"> en una o más sociedades. </w:t>
      </w:r>
      <w:r w:rsidRPr="0085217B">
        <w:rPr>
          <w:rFonts w:ascii="Century Gothic" w:hAnsi="Century Gothic"/>
          <w:b/>
          <w:color w:val="767171" w:themeColor="background2" w:themeShade="80"/>
          <w:sz w:val="16"/>
          <w:szCs w:val="16"/>
        </w:rPr>
        <w:t>Desintegración:</w:t>
      </w:r>
      <w:r w:rsidRPr="0085217B">
        <w:rPr>
          <w:rFonts w:ascii="Century Gothic" w:hAnsi="Century Gothic"/>
          <w:color w:val="767171" w:themeColor="background2" w:themeShade="80"/>
          <w:sz w:val="16"/>
          <w:szCs w:val="16"/>
        </w:rPr>
        <w:t xml:space="preserve"> Cierre de operaciones de una empresa y posterior separación en nuevas empresas independientes con registros propios.</w:t>
      </w:r>
    </w:p>
  </w:footnote>
  <w:footnote w:id="13">
    <w:p w14:paraId="02FAE423" w14:textId="77777777" w:rsidR="00746E03" w:rsidRPr="00E00387" w:rsidRDefault="00746E03" w:rsidP="00DD5852">
      <w:pPr>
        <w:pStyle w:val="Textonotapie"/>
        <w:rPr>
          <w:lang w:val="es-ES"/>
        </w:rPr>
      </w:pPr>
      <w:r w:rsidRPr="0085217B">
        <w:rPr>
          <w:rFonts w:ascii="Century Gothic" w:eastAsia="Century Gothic" w:hAnsi="Century Gothic" w:cs="Arial"/>
          <w:iCs/>
          <w:color w:val="6E6E7C"/>
          <w:sz w:val="16"/>
          <w:szCs w:val="16"/>
          <w:lang w:val="es-ES" w:eastAsia="es-ES" w:bidi="es-ES"/>
        </w:rPr>
        <w:footnoteRef/>
      </w:r>
      <w:r w:rsidRPr="0085217B">
        <w:rPr>
          <w:rFonts w:ascii="Century Gothic" w:eastAsia="Century Gothic" w:hAnsi="Century Gothic" w:cs="Arial"/>
          <w:iCs/>
          <w:color w:val="6E6E7C"/>
          <w:sz w:val="16"/>
          <w:szCs w:val="16"/>
          <w:lang w:val="es-ES" w:eastAsia="es-ES" w:bidi="es-ES"/>
        </w:rPr>
        <w:t xml:space="preserve"> Documento que incluye las novedades de la </w:t>
      </w:r>
      <w:r>
        <w:rPr>
          <w:rFonts w:ascii="Century Gothic" w:eastAsia="Century Gothic" w:hAnsi="Century Gothic" w:cs="Arial"/>
          <w:iCs/>
          <w:color w:val="6E6E7C"/>
          <w:sz w:val="16"/>
          <w:szCs w:val="16"/>
          <w:lang w:val="es-ES" w:eastAsia="es-ES" w:bidi="es-ES"/>
        </w:rPr>
        <w:t>encuesta</w:t>
      </w:r>
      <w:r w:rsidRPr="0085217B">
        <w:rPr>
          <w:rFonts w:ascii="Century Gothic" w:eastAsia="Century Gothic" w:hAnsi="Century Gothic" w:cs="Arial"/>
          <w:iCs/>
          <w:color w:val="6E6E7C"/>
          <w:sz w:val="16"/>
          <w:szCs w:val="16"/>
          <w:lang w:val="es-ES" w:eastAsia="es-ES" w:bidi="es-ES"/>
        </w:rPr>
        <w:t>.</w:t>
      </w:r>
    </w:p>
  </w:footnote>
  <w:footnote w:id="14">
    <w:p w14:paraId="6E0ED613" w14:textId="77777777" w:rsidR="00746E03" w:rsidRPr="0085217B" w:rsidRDefault="00746E03" w:rsidP="00924439">
      <w:pPr>
        <w:pStyle w:val="Textonotapie"/>
        <w:rPr>
          <w:rFonts w:ascii="Century Gothic" w:eastAsia="Century Gothic" w:hAnsi="Century Gothic" w:cs="Arial"/>
          <w:iCs/>
          <w:color w:val="6E6E7C"/>
          <w:sz w:val="16"/>
          <w:szCs w:val="16"/>
          <w:lang w:val="es-ES" w:eastAsia="es-ES" w:bidi="es-ES"/>
        </w:rPr>
      </w:pPr>
      <w:r w:rsidRPr="0085217B">
        <w:rPr>
          <w:rFonts w:ascii="Century Gothic" w:eastAsia="Century Gothic" w:hAnsi="Century Gothic" w:cs="Arial"/>
          <w:iCs/>
          <w:color w:val="6E6E7C"/>
          <w:sz w:val="16"/>
          <w:szCs w:val="16"/>
          <w:lang w:val="es-ES" w:eastAsia="es-ES" w:bidi="es-ES"/>
        </w:rPr>
        <w:footnoteRef/>
      </w:r>
      <w:r w:rsidRPr="0085217B">
        <w:rPr>
          <w:rFonts w:ascii="Century Gothic" w:eastAsia="Century Gothic" w:hAnsi="Century Gothic" w:cs="Arial"/>
          <w:iCs/>
          <w:color w:val="6E6E7C"/>
          <w:sz w:val="16"/>
          <w:szCs w:val="16"/>
          <w:lang w:val="es-ES" w:eastAsia="es-ES" w:bidi="es-ES"/>
        </w:rPr>
        <w:t xml:space="preserve"> Debido a la falta de respuesta concurrente de una empresa con incidencia significativa en los resultados de la encuesta, se considera la estructura del último registro disponible correspondiente a la ENESEM 202</w:t>
      </w:r>
      <w:r>
        <w:rPr>
          <w:rFonts w:ascii="Century Gothic" w:eastAsia="Century Gothic" w:hAnsi="Century Gothic" w:cs="Arial"/>
          <w:iCs/>
          <w:color w:val="6E6E7C"/>
          <w:sz w:val="16"/>
          <w:szCs w:val="16"/>
          <w:lang w:val="es-ES" w:eastAsia="es-ES" w:bidi="es-ES"/>
        </w:rPr>
        <w:t>1.</w:t>
      </w:r>
      <w:r w:rsidRPr="0085217B">
        <w:rPr>
          <w:rFonts w:ascii="Century Gothic" w:eastAsia="Century Gothic" w:hAnsi="Century Gothic" w:cs="Arial"/>
          <w:iCs/>
          <w:color w:val="6E6E7C"/>
          <w:sz w:val="16"/>
          <w:szCs w:val="16"/>
          <w:lang w:val="es-ES" w:eastAsia="es-ES" w:bidi="es-ES"/>
        </w:rPr>
        <w:t xml:space="preserve"> </w:t>
      </w:r>
    </w:p>
  </w:footnote>
  <w:footnote w:id="15">
    <w:p w14:paraId="4A377C0F" w14:textId="77777777" w:rsidR="00746E03" w:rsidRPr="00924439" w:rsidRDefault="00746E03" w:rsidP="00924439">
      <w:pPr>
        <w:pStyle w:val="Textonotapie"/>
        <w:rPr>
          <w:rFonts w:ascii="Century Gothic" w:eastAsia="Century Gothic" w:hAnsi="Century Gothic" w:cs="Arial"/>
          <w:iCs/>
          <w:color w:val="6E6E7C"/>
          <w:sz w:val="16"/>
          <w:szCs w:val="16"/>
          <w:lang w:val="es-ES" w:eastAsia="es-ES" w:bidi="es-ES"/>
        </w:rPr>
      </w:pPr>
      <w:r w:rsidRPr="00924439">
        <w:rPr>
          <w:rFonts w:ascii="Century Gothic" w:eastAsia="Century Gothic" w:hAnsi="Century Gothic" w:cs="Arial"/>
          <w:iCs/>
          <w:color w:val="6E6E7C"/>
          <w:sz w:val="16"/>
          <w:lang w:val="es-ES" w:eastAsia="es-ES" w:bidi="es-ES"/>
        </w:rPr>
        <w:footnoteRef/>
      </w:r>
      <w:r w:rsidRPr="00924439">
        <w:rPr>
          <w:rFonts w:ascii="Century Gothic" w:eastAsia="Century Gothic" w:hAnsi="Century Gothic" w:cs="Arial"/>
          <w:iCs/>
          <w:color w:val="6E6E7C"/>
          <w:sz w:val="16"/>
          <w:szCs w:val="16"/>
          <w:lang w:val="es-ES" w:eastAsia="es-ES" w:bidi="es-ES"/>
        </w:rPr>
        <w:t xml:space="preserve"> Debido a que el proceso de imputación para el capítulo V se lo realiza desde la ENESEM 2021, las estructuras tomadas como referencia para este proceso son tomadas de rondas anteriores, es por este motivo que se tiene una periodicidad definida para realizar una recolección en campo para actualizar estas estructuras.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830B45" w14:textId="77777777" w:rsidR="00746E03" w:rsidRDefault="00746E03">
    <w:pPr>
      <w:pStyle w:val="Encabezado"/>
    </w:pPr>
    <w:r>
      <w:rPr>
        <w:noProof/>
        <w:lang w:eastAsia="es-EC"/>
      </w:rPr>
      <w:drawing>
        <wp:anchor distT="0" distB="0" distL="114300" distR="114300" simplePos="0" relativeHeight="251658240" behindDoc="1" locked="0" layoutInCell="1" allowOverlap="1" wp14:anchorId="1520989A" wp14:editId="1E8AFA1A">
          <wp:simplePos x="0" y="0"/>
          <wp:positionH relativeFrom="column">
            <wp:posOffset>-1080135</wp:posOffset>
          </wp:positionH>
          <wp:positionV relativeFrom="paragraph">
            <wp:posOffset>-432960</wp:posOffset>
          </wp:positionV>
          <wp:extent cx="7551821" cy="10674086"/>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7408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FE7155"/>
    <w:multiLevelType w:val="multilevel"/>
    <w:tmpl w:val="F0FCBD5C"/>
    <w:lvl w:ilvl="0">
      <w:start w:val="2"/>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520" w:hanging="144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5040" w:hanging="2520"/>
      </w:pPr>
      <w:rPr>
        <w:rFonts w:hint="default"/>
      </w:rPr>
    </w:lvl>
    <w:lvl w:ilvl="8">
      <w:start w:val="1"/>
      <w:numFmt w:val="decimal"/>
      <w:lvlText w:val="%1.%2.%3.%4.%5.%6.%7.%8.%9."/>
      <w:lvlJc w:val="left"/>
      <w:pPr>
        <w:ind w:left="5400" w:hanging="2520"/>
      </w:pPr>
      <w:rPr>
        <w:rFonts w:hint="default"/>
      </w:rPr>
    </w:lvl>
  </w:abstractNum>
  <w:abstractNum w:abstractNumId="1" w15:restartNumberingAfterBreak="0">
    <w:nsid w:val="0AD83ADD"/>
    <w:multiLevelType w:val="hybridMultilevel"/>
    <w:tmpl w:val="0142AD0E"/>
    <w:lvl w:ilvl="0" w:tplc="300A0001">
      <w:start w:val="1"/>
      <w:numFmt w:val="bullet"/>
      <w:lvlText w:val=""/>
      <w:lvlJc w:val="left"/>
      <w:pPr>
        <w:ind w:left="1068" w:hanging="360"/>
      </w:pPr>
      <w:rPr>
        <w:rFonts w:ascii="Symbol" w:hAnsi="Symbol"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2" w15:restartNumberingAfterBreak="0">
    <w:nsid w:val="0BC4103B"/>
    <w:multiLevelType w:val="hybridMultilevel"/>
    <w:tmpl w:val="AA4A8940"/>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3" w15:restartNumberingAfterBreak="0">
    <w:nsid w:val="0E7A17ED"/>
    <w:multiLevelType w:val="hybridMultilevel"/>
    <w:tmpl w:val="93B2BD7C"/>
    <w:lvl w:ilvl="0" w:tplc="AF167248">
      <w:start w:val="14"/>
      <w:numFmt w:val="bullet"/>
      <w:lvlText w:val="-"/>
      <w:lvlJc w:val="left"/>
      <w:pPr>
        <w:ind w:left="720" w:hanging="360"/>
      </w:pPr>
      <w:rPr>
        <w:rFonts w:ascii="Century Gothic" w:eastAsia="Times New Roman" w:hAnsi="Century Gothic"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15:restartNumberingAfterBreak="0">
    <w:nsid w:val="0F2656F0"/>
    <w:multiLevelType w:val="hybridMultilevel"/>
    <w:tmpl w:val="118C90D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14B05F8B"/>
    <w:multiLevelType w:val="hybridMultilevel"/>
    <w:tmpl w:val="3A30A71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15E8177A"/>
    <w:multiLevelType w:val="hybridMultilevel"/>
    <w:tmpl w:val="B90C6FC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18D13036"/>
    <w:multiLevelType w:val="hybridMultilevel"/>
    <w:tmpl w:val="6A9C570C"/>
    <w:lvl w:ilvl="0" w:tplc="300A0001">
      <w:start w:val="1"/>
      <w:numFmt w:val="bullet"/>
      <w:lvlText w:val=""/>
      <w:lvlJc w:val="left"/>
      <w:pPr>
        <w:ind w:left="360" w:hanging="360"/>
      </w:pPr>
      <w:rPr>
        <w:rFonts w:ascii="Symbol" w:hAnsi="Symbol" w:hint="default"/>
        <w:color w:val="000000" w:themeColor="text1"/>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8" w15:restartNumberingAfterBreak="0">
    <w:nsid w:val="1A5438FA"/>
    <w:multiLevelType w:val="hybridMultilevel"/>
    <w:tmpl w:val="0AFCD09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15:restartNumberingAfterBreak="0">
    <w:nsid w:val="1E600480"/>
    <w:multiLevelType w:val="hybridMultilevel"/>
    <w:tmpl w:val="C518D2C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2299719C"/>
    <w:multiLevelType w:val="multilevel"/>
    <w:tmpl w:val="86D8AE3A"/>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59B6CFE"/>
    <w:multiLevelType w:val="hybridMultilevel"/>
    <w:tmpl w:val="210C0C2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2832535C"/>
    <w:multiLevelType w:val="hybridMultilevel"/>
    <w:tmpl w:val="5BAE98BA"/>
    <w:lvl w:ilvl="0" w:tplc="300A000D">
      <w:start w:val="1"/>
      <w:numFmt w:val="bullet"/>
      <w:lvlText w:val=""/>
      <w:lvlJc w:val="left"/>
      <w:pPr>
        <w:ind w:left="1068" w:hanging="360"/>
      </w:pPr>
      <w:rPr>
        <w:rFonts w:ascii="Wingdings" w:hAnsi="Wingding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3" w15:restartNumberingAfterBreak="0">
    <w:nsid w:val="28CB3A1C"/>
    <w:multiLevelType w:val="hybridMultilevel"/>
    <w:tmpl w:val="011277BC"/>
    <w:lvl w:ilvl="0" w:tplc="300A0001">
      <w:start w:val="1"/>
      <w:numFmt w:val="bullet"/>
      <w:lvlText w:val=""/>
      <w:lvlJc w:val="left"/>
      <w:pPr>
        <w:ind w:left="1210" w:hanging="360"/>
      </w:pPr>
      <w:rPr>
        <w:rFonts w:ascii="Symbol" w:hAnsi="Symbol" w:hint="default"/>
      </w:rPr>
    </w:lvl>
    <w:lvl w:ilvl="1" w:tplc="300A0003">
      <w:start w:val="1"/>
      <w:numFmt w:val="bullet"/>
      <w:lvlText w:val="o"/>
      <w:lvlJc w:val="left"/>
      <w:pPr>
        <w:ind w:left="1930" w:hanging="360"/>
      </w:pPr>
      <w:rPr>
        <w:rFonts w:ascii="Courier New" w:hAnsi="Courier New" w:cs="Courier New" w:hint="default"/>
      </w:rPr>
    </w:lvl>
    <w:lvl w:ilvl="2" w:tplc="300A0005">
      <w:start w:val="1"/>
      <w:numFmt w:val="bullet"/>
      <w:lvlText w:val=""/>
      <w:lvlJc w:val="left"/>
      <w:pPr>
        <w:ind w:left="2650" w:hanging="360"/>
      </w:pPr>
      <w:rPr>
        <w:rFonts w:ascii="Wingdings" w:hAnsi="Wingdings" w:hint="default"/>
      </w:rPr>
    </w:lvl>
    <w:lvl w:ilvl="3" w:tplc="300A0001" w:tentative="1">
      <w:start w:val="1"/>
      <w:numFmt w:val="bullet"/>
      <w:lvlText w:val=""/>
      <w:lvlJc w:val="left"/>
      <w:pPr>
        <w:ind w:left="3370" w:hanging="360"/>
      </w:pPr>
      <w:rPr>
        <w:rFonts w:ascii="Symbol" w:hAnsi="Symbol" w:hint="default"/>
      </w:rPr>
    </w:lvl>
    <w:lvl w:ilvl="4" w:tplc="300A0003" w:tentative="1">
      <w:start w:val="1"/>
      <w:numFmt w:val="bullet"/>
      <w:lvlText w:val="o"/>
      <w:lvlJc w:val="left"/>
      <w:pPr>
        <w:ind w:left="4090" w:hanging="360"/>
      </w:pPr>
      <w:rPr>
        <w:rFonts w:ascii="Courier New" w:hAnsi="Courier New" w:cs="Courier New" w:hint="default"/>
      </w:rPr>
    </w:lvl>
    <w:lvl w:ilvl="5" w:tplc="300A0005" w:tentative="1">
      <w:start w:val="1"/>
      <w:numFmt w:val="bullet"/>
      <w:lvlText w:val=""/>
      <w:lvlJc w:val="left"/>
      <w:pPr>
        <w:ind w:left="4810" w:hanging="360"/>
      </w:pPr>
      <w:rPr>
        <w:rFonts w:ascii="Wingdings" w:hAnsi="Wingdings" w:hint="default"/>
      </w:rPr>
    </w:lvl>
    <w:lvl w:ilvl="6" w:tplc="300A0001" w:tentative="1">
      <w:start w:val="1"/>
      <w:numFmt w:val="bullet"/>
      <w:lvlText w:val=""/>
      <w:lvlJc w:val="left"/>
      <w:pPr>
        <w:ind w:left="5530" w:hanging="360"/>
      </w:pPr>
      <w:rPr>
        <w:rFonts w:ascii="Symbol" w:hAnsi="Symbol" w:hint="default"/>
      </w:rPr>
    </w:lvl>
    <w:lvl w:ilvl="7" w:tplc="300A0003" w:tentative="1">
      <w:start w:val="1"/>
      <w:numFmt w:val="bullet"/>
      <w:lvlText w:val="o"/>
      <w:lvlJc w:val="left"/>
      <w:pPr>
        <w:ind w:left="6250" w:hanging="360"/>
      </w:pPr>
      <w:rPr>
        <w:rFonts w:ascii="Courier New" w:hAnsi="Courier New" w:cs="Courier New" w:hint="default"/>
      </w:rPr>
    </w:lvl>
    <w:lvl w:ilvl="8" w:tplc="300A0005" w:tentative="1">
      <w:start w:val="1"/>
      <w:numFmt w:val="bullet"/>
      <w:lvlText w:val=""/>
      <w:lvlJc w:val="left"/>
      <w:pPr>
        <w:ind w:left="6970" w:hanging="360"/>
      </w:pPr>
      <w:rPr>
        <w:rFonts w:ascii="Wingdings" w:hAnsi="Wingdings" w:hint="default"/>
      </w:rPr>
    </w:lvl>
  </w:abstractNum>
  <w:abstractNum w:abstractNumId="14" w15:restartNumberingAfterBreak="0">
    <w:nsid w:val="29240ADA"/>
    <w:multiLevelType w:val="hybridMultilevel"/>
    <w:tmpl w:val="EBFE1C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D067145"/>
    <w:multiLevelType w:val="multilevel"/>
    <w:tmpl w:val="7254632E"/>
    <w:lvl w:ilvl="0">
      <w:start w:val="2"/>
      <w:numFmt w:val="bullet"/>
      <w:lvlText w:val="-"/>
      <w:lvlJc w:val="left"/>
      <w:pPr>
        <w:ind w:left="720" w:hanging="360"/>
      </w:pPr>
      <w:rPr>
        <w:rFonts w:ascii="Century Gothic" w:eastAsia="Century Gothic" w:hAnsi="Century Gothic" w:cs="Century Gothic"/>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D205525"/>
    <w:multiLevelType w:val="hybridMultilevel"/>
    <w:tmpl w:val="BD04CDA0"/>
    <w:lvl w:ilvl="0" w:tplc="1AAA326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FD41BA"/>
    <w:multiLevelType w:val="multilevel"/>
    <w:tmpl w:val="F98ABDB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val="0"/>
        <w:color w:val="595959" w:themeColor="text1" w:themeTint="A6"/>
        <w:sz w:val="28"/>
        <w:szCs w:val="28"/>
      </w:rPr>
    </w:lvl>
    <w:lvl w:ilvl="2">
      <w:start w:val="1"/>
      <w:numFmt w:val="decimal"/>
      <w:isLgl/>
      <w:lvlText w:val="%1.%2.%3."/>
      <w:lvlJc w:val="left"/>
      <w:pPr>
        <w:ind w:left="1440" w:hanging="1080"/>
      </w:pPr>
      <w:rPr>
        <w:rFonts w:hint="default"/>
        <w:b/>
        <w:bCs/>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8" w15:restartNumberingAfterBreak="0">
    <w:nsid w:val="32761C4C"/>
    <w:multiLevelType w:val="multilevel"/>
    <w:tmpl w:val="868E9672"/>
    <w:lvl w:ilvl="0">
      <w:start w:val="3"/>
      <w:numFmt w:val="decimal"/>
      <w:lvlText w:val="%1"/>
      <w:lvlJc w:val="left"/>
      <w:pPr>
        <w:ind w:left="525" w:hanging="525"/>
      </w:pPr>
      <w:rPr>
        <w:rFonts w:hint="default"/>
      </w:rPr>
    </w:lvl>
    <w:lvl w:ilvl="1">
      <w:start w:val="3"/>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480" w:hanging="2160"/>
      </w:pPr>
      <w:rPr>
        <w:rFonts w:hint="default"/>
      </w:rPr>
    </w:lvl>
  </w:abstractNum>
  <w:abstractNum w:abstractNumId="19" w15:restartNumberingAfterBreak="0">
    <w:nsid w:val="3BF60E6F"/>
    <w:multiLevelType w:val="hybridMultilevel"/>
    <w:tmpl w:val="ED94DEEC"/>
    <w:lvl w:ilvl="0" w:tplc="B910203A">
      <w:start w:val="1"/>
      <w:numFmt w:val="decimal"/>
      <w:lvlText w:val="%1."/>
      <w:lvlJc w:val="left"/>
      <w:pPr>
        <w:tabs>
          <w:tab w:val="num" w:pos="720"/>
        </w:tabs>
        <w:ind w:left="720" w:hanging="360"/>
      </w:pPr>
    </w:lvl>
    <w:lvl w:ilvl="1" w:tplc="C0563AF4" w:tentative="1">
      <w:start w:val="1"/>
      <w:numFmt w:val="decimal"/>
      <w:lvlText w:val="%2."/>
      <w:lvlJc w:val="left"/>
      <w:pPr>
        <w:tabs>
          <w:tab w:val="num" w:pos="1440"/>
        </w:tabs>
        <w:ind w:left="1440" w:hanging="360"/>
      </w:pPr>
    </w:lvl>
    <w:lvl w:ilvl="2" w:tplc="3398CFC6" w:tentative="1">
      <w:start w:val="1"/>
      <w:numFmt w:val="decimal"/>
      <w:lvlText w:val="%3."/>
      <w:lvlJc w:val="left"/>
      <w:pPr>
        <w:tabs>
          <w:tab w:val="num" w:pos="2160"/>
        </w:tabs>
        <w:ind w:left="2160" w:hanging="360"/>
      </w:pPr>
    </w:lvl>
    <w:lvl w:ilvl="3" w:tplc="5D36694A" w:tentative="1">
      <w:start w:val="1"/>
      <w:numFmt w:val="decimal"/>
      <w:lvlText w:val="%4."/>
      <w:lvlJc w:val="left"/>
      <w:pPr>
        <w:tabs>
          <w:tab w:val="num" w:pos="2880"/>
        </w:tabs>
        <w:ind w:left="2880" w:hanging="360"/>
      </w:pPr>
    </w:lvl>
    <w:lvl w:ilvl="4" w:tplc="A4968BF0" w:tentative="1">
      <w:start w:val="1"/>
      <w:numFmt w:val="decimal"/>
      <w:lvlText w:val="%5."/>
      <w:lvlJc w:val="left"/>
      <w:pPr>
        <w:tabs>
          <w:tab w:val="num" w:pos="3600"/>
        </w:tabs>
        <w:ind w:left="3600" w:hanging="360"/>
      </w:pPr>
    </w:lvl>
    <w:lvl w:ilvl="5" w:tplc="EE5AA294" w:tentative="1">
      <w:start w:val="1"/>
      <w:numFmt w:val="decimal"/>
      <w:lvlText w:val="%6."/>
      <w:lvlJc w:val="left"/>
      <w:pPr>
        <w:tabs>
          <w:tab w:val="num" w:pos="4320"/>
        </w:tabs>
        <w:ind w:left="4320" w:hanging="360"/>
      </w:pPr>
    </w:lvl>
    <w:lvl w:ilvl="6" w:tplc="7604D698" w:tentative="1">
      <w:start w:val="1"/>
      <w:numFmt w:val="decimal"/>
      <w:lvlText w:val="%7."/>
      <w:lvlJc w:val="left"/>
      <w:pPr>
        <w:tabs>
          <w:tab w:val="num" w:pos="5040"/>
        </w:tabs>
        <w:ind w:left="5040" w:hanging="360"/>
      </w:pPr>
    </w:lvl>
    <w:lvl w:ilvl="7" w:tplc="2B6C2F80" w:tentative="1">
      <w:start w:val="1"/>
      <w:numFmt w:val="decimal"/>
      <w:lvlText w:val="%8."/>
      <w:lvlJc w:val="left"/>
      <w:pPr>
        <w:tabs>
          <w:tab w:val="num" w:pos="5760"/>
        </w:tabs>
        <w:ind w:left="5760" w:hanging="360"/>
      </w:pPr>
    </w:lvl>
    <w:lvl w:ilvl="8" w:tplc="A48056DC" w:tentative="1">
      <w:start w:val="1"/>
      <w:numFmt w:val="decimal"/>
      <w:lvlText w:val="%9."/>
      <w:lvlJc w:val="left"/>
      <w:pPr>
        <w:tabs>
          <w:tab w:val="num" w:pos="6480"/>
        </w:tabs>
        <w:ind w:left="6480" w:hanging="360"/>
      </w:pPr>
    </w:lvl>
  </w:abstractNum>
  <w:abstractNum w:abstractNumId="20" w15:restartNumberingAfterBreak="0">
    <w:nsid w:val="3C997648"/>
    <w:multiLevelType w:val="hybridMultilevel"/>
    <w:tmpl w:val="D6D41F2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4185479D"/>
    <w:multiLevelType w:val="hybridMultilevel"/>
    <w:tmpl w:val="356498F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68C3021"/>
    <w:multiLevelType w:val="hybridMultilevel"/>
    <w:tmpl w:val="580C45C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46DF1F2A"/>
    <w:multiLevelType w:val="hybridMultilevel"/>
    <w:tmpl w:val="6E3EB88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46F01F54"/>
    <w:multiLevelType w:val="hybridMultilevel"/>
    <w:tmpl w:val="404039F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4A461370"/>
    <w:multiLevelType w:val="hybridMultilevel"/>
    <w:tmpl w:val="DDC2E62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4FAC2E78"/>
    <w:multiLevelType w:val="hybridMultilevel"/>
    <w:tmpl w:val="1BB2F8FC"/>
    <w:lvl w:ilvl="0" w:tplc="300A0001">
      <w:start w:val="1"/>
      <w:numFmt w:val="bullet"/>
      <w:lvlText w:val=""/>
      <w:lvlJc w:val="left"/>
      <w:pPr>
        <w:ind w:left="721" w:hanging="360"/>
      </w:pPr>
      <w:rPr>
        <w:rFonts w:ascii="Symbol" w:hAnsi="Symbol" w:hint="default"/>
      </w:rPr>
    </w:lvl>
    <w:lvl w:ilvl="1" w:tplc="300A0003">
      <w:start w:val="1"/>
      <w:numFmt w:val="bullet"/>
      <w:lvlText w:val="o"/>
      <w:lvlJc w:val="left"/>
      <w:pPr>
        <w:ind w:left="1441" w:hanging="360"/>
      </w:pPr>
      <w:rPr>
        <w:rFonts w:ascii="Courier New" w:hAnsi="Courier New" w:cs="Courier New" w:hint="default"/>
      </w:rPr>
    </w:lvl>
    <w:lvl w:ilvl="2" w:tplc="300A0005" w:tentative="1">
      <w:start w:val="1"/>
      <w:numFmt w:val="bullet"/>
      <w:lvlText w:val=""/>
      <w:lvlJc w:val="left"/>
      <w:pPr>
        <w:ind w:left="2161" w:hanging="360"/>
      </w:pPr>
      <w:rPr>
        <w:rFonts w:ascii="Wingdings" w:hAnsi="Wingdings" w:hint="default"/>
      </w:rPr>
    </w:lvl>
    <w:lvl w:ilvl="3" w:tplc="300A0001" w:tentative="1">
      <w:start w:val="1"/>
      <w:numFmt w:val="bullet"/>
      <w:lvlText w:val=""/>
      <w:lvlJc w:val="left"/>
      <w:pPr>
        <w:ind w:left="2881" w:hanging="360"/>
      </w:pPr>
      <w:rPr>
        <w:rFonts w:ascii="Symbol" w:hAnsi="Symbol" w:hint="default"/>
      </w:rPr>
    </w:lvl>
    <w:lvl w:ilvl="4" w:tplc="300A0003" w:tentative="1">
      <w:start w:val="1"/>
      <w:numFmt w:val="bullet"/>
      <w:lvlText w:val="o"/>
      <w:lvlJc w:val="left"/>
      <w:pPr>
        <w:ind w:left="3601" w:hanging="360"/>
      </w:pPr>
      <w:rPr>
        <w:rFonts w:ascii="Courier New" w:hAnsi="Courier New" w:cs="Courier New" w:hint="default"/>
      </w:rPr>
    </w:lvl>
    <w:lvl w:ilvl="5" w:tplc="300A0005" w:tentative="1">
      <w:start w:val="1"/>
      <w:numFmt w:val="bullet"/>
      <w:lvlText w:val=""/>
      <w:lvlJc w:val="left"/>
      <w:pPr>
        <w:ind w:left="4321" w:hanging="360"/>
      </w:pPr>
      <w:rPr>
        <w:rFonts w:ascii="Wingdings" w:hAnsi="Wingdings" w:hint="default"/>
      </w:rPr>
    </w:lvl>
    <w:lvl w:ilvl="6" w:tplc="300A0001" w:tentative="1">
      <w:start w:val="1"/>
      <w:numFmt w:val="bullet"/>
      <w:lvlText w:val=""/>
      <w:lvlJc w:val="left"/>
      <w:pPr>
        <w:ind w:left="5041" w:hanging="360"/>
      </w:pPr>
      <w:rPr>
        <w:rFonts w:ascii="Symbol" w:hAnsi="Symbol" w:hint="default"/>
      </w:rPr>
    </w:lvl>
    <w:lvl w:ilvl="7" w:tplc="300A0003" w:tentative="1">
      <w:start w:val="1"/>
      <w:numFmt w:val="bullet"/>
      <w:lvlText w:val="o"/>
      <w:lvlJc w:val="left"/>
      <w:pPr>
        <w:ind w:left="5761" w:hanging="360"/>
      </w:pPr>
      <w:rPr>
        <w:rFonts w:ascii="Courier New" w:hAnsi="Courier New" w:cs="Courier New" w:hint="default"/>
      </w:rPr>
    </w:lvl>
    <w:lvl w:ilvl="8" w:tplc="300A0005" w:tentative="1">
      <w:start w:val="1"/>
      <w:numFmt w:val="bullet"/>
      <w:lvlText w:val=""/>
      <w:lvlJc w:val="left"/>
      <w:pPr>
        <w:ind w:left="6481" w:hanging="360"/>
      </w:pPr>
      <w:rPr>
        <w:rFonts w:ascii="Wingdings" w:hAnsi="Wingdings" w:hint="default"/>
      </w:rPr>
    </w:lvl>
  </w:abstractNum>
  <w:abstractNum w:abstractNumId="27" w15:restartNumberingAfterBreak="0">
    <w:nsid w:val="550146F5"/>
    <w:multiLevelType w:val="multilevel"/>
    <w:tmpl w:val="AF224A76"/>
    <w:lvl w:ilvl="0">
      <w:start w:val="4"/>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56955121"/>
    <w:multiLevelType w:val="hybridMultilevel"/>
    <w:tmpl w:val="779AD82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56B94D2B"/>
    <w:multiLevelType w:val="hybridMultilevel"/>
    <w:tmpl w:val="65BEBDA0"/>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5927066E"/>
    <w:multiLevelType w:val="hybridMultilevel"/>
    <w:tmpl w:val="DA72D21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15:restartNumberingAfterBreak="0">
    <w:nsid w:val="5AF36734"/>
    <w:multiLevelType w:val="hybridMultilevel"/>
    <w:tmpl w:val="170EC36C"/>
    <w:lvl w:ilvl="0" w:tplc="300A0001">
      <w:start w:val="1"/>
      <w:numFmt w:val="bullet"/>
      <w:lvlText w:val=""/>
      <w:lvlJc w:val="left"/>
      <w:pPr>
        <w:ind w:left="720" w:hanging="360"/>
      </w:pPr>
      <w:rPr>
        <w:rFonts w:ascii="Symbol" w:hAnsi="Symbol" w:hint="default"/>
      </w:rPr>
    </w:lvl>
    <w:lvl w:ilvl="1" w:tplc="8E3877DC">
      <w:start w:val="5"/>
      <w:numFmt w:val="bullet"/>
      <w:lvlText w:val="•"/>
      <w:lvlJc w:val="left"/>
      <w:pPr>
        <w:ind w:left="1500" w:hanging="420"/>
      </w:pPr>
      <w:rPr>
        <w:rFonts w:ascii="Century Gothic" w:eastAsiaTheme="minorHAnsi" w:hAnsi="Century Gothic" w:cs="Arial"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15:restartNumberingAfterBreak="0">
    <w:nsid w:val="5CD2309F"/>
    <w:multiLevelType w:val="multilevel"/>
    <w:tmpl w:val="F0FCBD5C"/>
    <w:lvl w:ilvl="0">
      <w:start w:val="2"/>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520" w:hanging="144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5040" w:hanging="2520"/>
      </w:pPr>
      <w:rPr>
        <w:rFonts w:hint="default"/>
      </w:rPr>
    </w:lvl>
    <w:lvl w:ilvl="8">
      <w:start w:val="1"/>
      <w:numFmt w:val="decimal"/>
      <w:lvlText w:val="%1.%2.%3.%4.%5.%6.%7.%8.%9."/>
      <w:lvlJc w:val="left"/>
      <w:pPr>
        <w:ind w:left="5400" w:hanging="2520"/>
      </w:pPr>
      <w:rPr>
        <w:rFonts w:hint="default"/>
      </w:rPr>
    </w:lvl>
  </w:abstractNum>
  <w:abstractNum w:abstractNumId="33" w15:restartNumberingAfterBreak="0">
    <w:nsid w:val="5D380A31"/>
    <w:multiLevelType w:val="hybridMultilevel"/>
    <w:tmpl w:val="7220DA7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15:restartNumberingAfterBreak="0">
    <w:nsid w:val="5F482129"/>
    <w:multiLevelType w:val="hybridMultilevel"/>
    <w:tmpl w:val="C18240A2"/>
    <w:lvl w:ilvl="0" w:tplc="7B529E18">
      <w:numFmt w:val="bullet"/>
      <w:lvlText w:val="-"/>
      <w:lvlJc w:val="left"/>
      <w:pPr>
        <w:ind w:left="720" w:hanging="360"/>
      </w:pPr>
      <w:rPr>
        <w:rFonts w:ascii="Calibri" w:eastAsiaTheme="minorHAnsi"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15:restartNumberingAfterBreak="0">
    <w:nsid w:val="61431C1F"/>
    <w:multiLevelType w:val="hybridMultilevel"/>
    <w:tmpl w:val="2FAA0972"/>
    <w:lvl w:ilvl="0" w:tplc="97200A7C">
      <w:start w:val="1"/>
      <w:numFmt w:val="lowerRoman"/>
      <w:lvlText w:val="%1."/>
      <w:lvlJc w:val="right"/>
      <w:pPr>
        <w:tabs>
          <w:tab w:val="num" w:pos="720"/>
        </w:tabs>
        <w:ind w:left="720" w:hanging="360"/>
      </w:pPr>
    </w:lvl>
    <w:lvl w:ilvl="1" w:tplc="94C497FA" w:tentative="1">
      <w:start w:val="1"/>
      <w:numFmt w:val="lowerRoman"/>
      <w:lvlText w:val="%2."/>
      <w:lvlJc w:val="right"/>
      <w:pPr>
        <w:tabs>
          <w:tab w:val="num" w:pos="1440"/>
        </w:tabs>
        <w:ind w:left="1440" w:hanging="360"/>
      </w:pPr>
    </w:lvl>
    <w:lvl w:ilvl="2" w:tplc="FF425608" w:tentative="1">
      <w:start w:val="1"/>
      <w:numFmt w:val="lowerRoman"/>
      <w:lvlText w:val="%3."/>
      <w:lvlJc w:val="right"/>
      <w:pPr>
        <w:tabs>
          <w:tab w:val="num" w:pos="2160"/>
        </w:tabs>
        <w:ind w:left="2160" w:hanging="360"/>
      </w:pPr>
    </w:lvl>
    <w:lvl w:ilvl="3" w:tplc="047EC366" w:tentative="1">
      <w:start w:val="1"/>
      <w:numFmt w:val="lowerRoman"/>
      <w:lvlText w:val="%4."/>
      <w:lvlJc w:val="right"/>
      <w:pPr>
        <w:tabs>
          <w:tab w:val="num" w:pos="2880"/>
        </w:tabs>
        <w:ind w:left="2880" w:hanging="360"/>
      </w:pPr>
    </w:lvl>
    <w:lvl w:ilvl="4" w:tplc="BE02FC1E" w:tentative="1">
      <w:start w:val="1"/>
      <w:numFmt w:val="lowerRoman"/>
      <w:lvlText w:val="%5."/>
      <w:lvlJc w:val="right"/>
      <w:pPr>
        <w:tabs>
          <w:tab w:val="num" w:pos="3600"/>
        </w:tabs>
        <w:ind w:left="3600" w:hanging="360"/>
      </w:pPr>
    </w:lvl>
    <w:lvl w:ilvl="5" w:tplc="B080952C" w:tentative="1">
      <w:start w:val="1"/>
      <w:numFmt w:val="lowerRoman"/>
      <w:lvlText w:val="%6."/>
      <w:lvlJc w:val="right"/>
      <w:pPr>
        <w:tabs>
          <w:tab w:val="num" w:pos="4320"/>
        </w:tabs>
        <w:ind w:left="4320" w:hanging="360"/>
      </w:pPr>
    </w:lvl>
    <w:lvl w:ilvl="6" w:tplc="1F6E026A" w:tentative="1">
      <w:start w:val="1"/>
      <w:numFmt w:val="lowerRoman"/>
      <w:lvlText w:val="%7."/>
      <w:lvlJc w:val="right"/>
      <w:pPr>
        <w:tabs>
          <w:tab w:val="num" w:pos="5040"/>
        </w:tabs>
        <w:ind w:left="5040" w:hanging="360"/>
      </w:pPr>
    </w:lvl>
    <w:lvl w:ilvl="7" w:tplc="F74E2C64" w:tentative="1">
      <w:start w:val="1"/>
      <w:numFmt w:val="lowerRoman"/>
      <w:lvlText w:val="%8."/>
      <w:lvlJc w:val="right"/>
      <w:pPr>
        <w:tabs>
          <w:tab w:val="num" w:pos="5760"/>
        </w:tabs>
        <w:ind w:left="5760" w:hanging="360"/>
      </w:pPr>
    </w:lvl>
    <w:lvl w:ilvl="8" w:tplc="708E8374" w:tentative="1">
      <w:start w:val="1"/>
      <w:numFmt w:val="lowerRoman"/>
      <w:lvlText w:val="%9."/>
      <w:lvlJc w:val="right"/>
      <w:pPr>
        <w:tabs>
          <w:tab w:val="num" w:pos="6480"/>
        </w:tabs>
        <w:ind w:left="6480" w:hanging="360"/>
      </w:pPr>
    </w:lvl>
  </w:abstractNum>
  <w:abstractNum w:abstractNumId="36" w15:restartNumberingAfterBreak="0">
    <w:nsid w:val="62B1715D"/>
    <w:multiLevelType w:val="hybridMultilevel"/>
    <w:tmpl w:val="9EDC08F6"/>
    <w:lvl w:ilvl="0" w:tplc="300A0003">
      <w:start w:val="1"/>
      <w:numFmt w:val="bullet"/>
      <w:lvlText w:val="o"/>
      <w:lvlJc w:val="left"/>
      <w:pPr>
        <w:ind w:left="720" w:hanging="360"/>
      </w:pPr>
      <w:rPr>
        <w:rFonts w:ascii="Courier New" w:hAnsi="Courier New" w:hint="default"/>
      </w:rPr>
    </w:lvl>
    <w:lvl w:ilvl="1" w:tplc="300A0003">
      <w:start w:val="1"/>
      <w:numFmt w:val="bullet"/>
      <w:lvlText w:val="o"/>
      <w:lvlJc w:val="left"/>
      <w:pPr>
        <w:ind w:left="1440" w:hanging="360"/>
      </w:pPr>
      <w:rPr>
        <w:rFonts w:ascii="Courier New" w:hAnsi="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hint="default"/>
      </w:rPr>
    </w:lvl>
    <w:lvl w:ilvl="8" w:tplc="300A0005">
      <w:start w:val="1"/>
      <w:numFmt w:val="bullet"/>
      <w:lvlText w:val=""/>
      <w:lvlJc w:val="left"/>
      <w:pPr>
        <w:ind w:left="6480" w:hanging="360"/>
      </w:pPr>
      <w:rPr>
        <w:rFonts w:ascii="Wingdings" w:hAnsi="Wingdings" w:hint="default"/>
      </w:rPr>
    </w:lvl>
  </w:abstractNum>
  <w:abstractNum w:abstractNumId="37" w15:restartNumberingAfterBreak="0">
    <w:nsid w:val="71203A77"/>
    <w:multiLevelType w:val="hybridMultilevel"/>
    <w:tmpl w:val="4DFE93B8"/>
    <w:lvl w:ilvl="0" w:tplc="7B529E18">
      <w:numFmt w:val="bullet"/>
      <w:lvlText w:val="-"/>
      <w:lvlJc w:val="left"/>
      <w:pPr>
        <w:ind w:left="720" w:hanging="360"/>
      </w:pPr>
      <w:rPr>
        <w:rFonts w:ascii="Calibri" w:eastAsiaTheme="minorHAnsi"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15:restartNumberingAfterBreak="0">
    <w:nsid w:val="718D7740"/>
    <w:multiLevelType w:val="hybridMultilevel"/>
    <w:tmpl w:val="2AC89E5E"/>
    <w:lvl w:ilvl="0" w:tplc="7B529E18">
      <w:numFmt w:val="bullet"/>
      <w:lvlText w:val="-"/>
      <w:lvlJc w:val="left"/>
      <w:pPr>
        <w:ind w:left="720" w:hanging="360"/>
      </w:pPr>
      <w:rPr>
        <w:rFonts w:ascii="Calibri" w:eastAsiaTheme="minorHAnsi"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15:restartNumberingAfterBreak="0">
    <w:nsid w:val="71F75436"/>
    <w:multiLevelType w:val="hybridMultilevel"/>
    <w:tmpl w:val="DC10ED3A"/>
    <w:lvl w:ilvl="0" w:tplc="300A0001">
      <w:start w:val="1"/>
      <w:numFmt w:val="bullet"/>
      <w:lvlText w:val=""/>
      <w:lvlJc w:val="left"/>
      <w:pPr>
        <w:ind w:left="1428" w:hanging="360"/>
      </w:pPr>
      <w:rPr>
        <w:rFonts w:ascii="Symbol" w:hAnsi="Symbol" w:hint="default"/>
      </w:rPr>
    </w:lvl>
    <w:lvl w:ilvl="1" w:tplc="300A0003">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40" w15:restartNumberingAfterBreak="0">
    <w:nsid w:val="746640B6"/>
    <w:multiLevelType w:val="hybridMultilevel"/>
    <w:tmpl w:val="031A4FB2"/>
    <w:lvl w:ilvl="0" w:tplc="D1EA8648">
      <w:start w:val="1"/>
      <w:numFmt w:val="bullet"/>
      <w:lvlText w:val=""/>
      <w:lvlJc w:val="left"/>
      <w:pPr>
        <w:ind w:left="720" w:hanging="360"/>
      </w:pPr>
      <w:rPr>
        <w:rFonts w:ascii="Symbol" w:hAnsi="Symbol" w:hint="default"/>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15:restartNumberingAfterBreak="0">
    <w:nsid w:val="770B2C4B"/>
    <w:multiLevelType w:val="hybridMultilevel"/>
    <w:tmpl w:val="C47EB2E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15:restartNumberingAfterBreak="0">
    <w:nsid w:val="79F7440B"/>
    <w:multiLevelType w:val="hybridMultilevel"/>
    <w:tmpl w:val="511038D6"/>
    <w:lvl w:ilvl="0" w:tplc="7B529E18">
      <w:numFmt w:val="bullet"/>
      <w:lvlText w:val="-"/>
      <w:lvlJc w:val="left"/>
      <w:pPr>
        <w:ind w:left="720" w:hanging="360"/>
      </w:pPr>
      <w:rPr>
        <w:rFonts w:ascii="Calibri" w:eastAsiaTheme="minorHAnsi"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3" w15:restartNumberingAfterBreak="0">
    <w:nsid w:val="7C285F6E"/>
    <w:multiLevelType w:val="hybridMultilevel"/>
    <w:tmpl w:val="9F44659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15:restartNumberingAfterBreak="0">
    <w:nsid w:val="7CDC6107"/>
    <w:multiLevelType w:val="hybridMultilevel"/>
    <w:tmpl w:val="11D446AA"/>
    <w:lvl w:ilvl="0" w:tplc="7B529E18">
      <w:numFmt w:val="bullet"/>
      <w:lvlText w:val="-"/>
      <w:lvlJc w:val="left"/>
      <w:pPr>
        <w:ind w:left="720" w:hanging="360"/>
      </w:pPr>
      <w:rPr>
        <w:rFonts w:ascii="Calibri" w:eastAsiaTheme="minorHAnsi" w:hAnsi="Calibri" w:cs="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17"/>
  </w:num>
  <w:num w:numId="2">
    <w:abstractNumId w:val="32"/>
  </w:num>
  <w:num w:numId="3">
    <w:abstractNumId w:val="31"/>
  </w:num>
  <w:num w:numId="4">
    <w:abstractNumId w:val="33"/>
  </w:num>
  <w:num w:numId="5">
    <w:abstractNumId w:val="29"/>
  </w:num>
  <w:num w:numId="6">
    <w:abstractNumId w:val="4"/>
  </w:num>
  <w:num w:numId="7">
    <w:abstractNumId w:val="43"/>
  </w:num>
  <w:num w:numId="8">
    <w:abstractNumId w:val="6"/>
  </w:num>
  <w:num w:numId="9">
    <w:abstractNumId w:val="20"/>
  </w:num>
  <w:num w:numId="10">
    <w:abstractNumId w:val="34"/>
  </w:num>
  <w:num w:numId="11">
    <w:abstractNumId w:val="21"/>
  </w:num>
  <w:num w:numId="12">
    <w:abstractNumId w:val="42"/>
  </w:num>
  <w:num w:numId="13">
    <w:abstractNumId w:val="38"/>
  </w:num>
  <w:num w:numId="14">
    <w:abstractNumId w:val="44"/>
  </w:num>
  <w:num w:numId="15">
    <w:abstractNumId w:val="37"/>
  </w:num>
  <w:num w:numId="16">
    <w:abstractNumId w:val="25"/>
  </w:num>
  <w:num w:numId="17">
    <w:abstractNumId w:val="1"/>
  </w:num>
  <w:num w:numId="18">
    <w:abstractNumId w:val="39"/>
  </w:num>
  <w:num w:numId="19">
    <w:abstractNumId w:val="26"/>
  </w:num>
  <w:num w:numId="20">
    <w:abstractNumId w:val="27"/>
  </w:num>
  <w:num w:numId="21">
    <w:abstractNumId w:val="14"/>
  </w:num>
  <w:num w:numId="22">
    <w:abstractNumId w:val="10"/>
  </w:num>
  <w:num w:numId="23">
    <w:abstractNumId w:val="28"/>
  </w:num>
  <w:num w:numId="24">
    <w:abstractNumId w:val="22"/>
  </w:num>
  <w:num w:numId="25">
    <w:abstractNumId w:val="12"/>
  </w:num>
  <w:num w:numId="26">
    <w:abstractNumId w:val="36"/>
  </w:num>
  <w:num w:numId="27">
    <w:abstractNumId w:val="19"/>
  </w:num>
  <w:num w:numId="28">
    <w:abstractNumId w:val="9"/>
  </w:num>
  <w:num w:numId="29">
    <w:abstractNumId w:val="7"/>
  </w:num>
  <w:num w:numId="30">
    <w:abstractNumId w:val="11"/>
  </w:num>
  <w:num w:numId="31">
    <w:abstractNumId w:val="30"/>
  </w:num>
  <w:num w:numId="32">
    <w:abstractNumId w:val="0"/>
  </w:num>
  <w:num w:numId="33">
    <w:abstractNumId w:val="2"/>
  </w:num>
  <w:num w:numId="34">
    <w:abstractNumId w:val="35"/>
  </w:num>
  <w:num w:numId="35">
    <w:abstractNumId w:val="13"/>
  </w:num>
  <w:num w:numId="36">
    <w:abstractNumId w:val="24"/>
  </w:num>
  <w:num w:numId="37">
    <w:abstractNumId w:val="16"/>
  </w:num>
  <w:num w:numId="38">
    <w:abstractNumId w:val="3"/>
  </w:num>
  <w:num w:numId="39">
    <w:abstractNumId w:val="5"/>
  </w:num>
  <w:num w:numId="40">
    <w:abstractNumId w:val="41"/>
  </w:num>
  <w:num w:numId="41">
    <w:abstractNumId w:val="23"/>
  </w:num>
  <w:num w:numId="42">
    <w:abstractNumId w:val="18"/>
  </w:num>
  <w:num w:numId="43">
    <w:abstractNumId w:val="15"/>
  </w:num>
  <w:num w:numId="44">
    <w:abstractNumId w:val="8"/>
  </w:num>
  <w:num w:numId="45">
    <w:abstractNumId w:val="4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pt-BR" w:vendorID="64" w:dllVersion="6" w:nlCheck="1" w:checkStyle="0"/>
  <w:activeWritingStyle w:appName="MSWord" w:lang="es-EC" w:vendorID="64" w:dllVersion="6" w:nlCheck="1" w:checkStyle="1"/>
  <w:activeWritingStyle w:appName="MSWord" w:lang="es-ES" w:vendorID="64" w:dllVersion="6" w:nlCheck="1" w:checkStyle="1"/>
  <w:activeWritingStyle w:appName="MSWord" w:lang="es-MX"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es-EC" w:vendorID="64" w:dllVersion="0" w:nlCheck="1" w:checkStyle="0"/>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ES_tradnl" w:vendorID="64" w:dllVersion="0" w:nlCheck="1" w:checkStyle="0"/>
  <w:activeWritingStyle w:appName="MSWord" w:lang="es-EC" w:vendorID="64" w:dllVersion="131078" w:nlCheck="1" w:checkStyle="0"/>
  <w:activeWritingStyle w:appName="MSWord" w:lang="es-ES" w:vendorID="64" w:dllVersion="131078" w:nlCheck="1" w:checkStyle="0"/>
  <w:activeWritingStyle w:appName="MSWord" w:lang="en-US" w:vendorID="64" w:dllVersion="131078" w:nlCheck="1" w:checkStyle="1"/>
  <w:activeWritingStyle w:appName="MSWord" w:lang="es-ES_tradnl" w:vendorID="64" w:dllVersion="131078" w:nlCheck="1" w:checkStyle="0"/>
  <w:activeWritingStyle w:appName="MSWord" w:lang="es-MX"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1505B"/>
    <w:rsid w:val="00015D92"/>
    <w:rsid w:val="0002600C"/>
    <w:rsid w:val="00040516"/>
    <w:rsid w:val="00044830"/>
    <w:rsid w:val="00050627"/>
    <w:rsid w:val="00063D2D"/>
    <w:rsid w:val="00072F30"/>
    <w:rsid w:val="0007659A"/>
    <w:rsid w:val="00076DE4"/>
    <w:rsid w:val="000A0C79"/>
    <w:rsid w:val="000B28C9"/>
    <w:rsid w:val="000B6DAB"/>
    <w:rsid w:val="000C3D42"/>
    <w:rsid w:val="000C4C4A"/>
    <w:rsid w:val="000D1095"/>
    <w:rsid w:val="000D26CB"/>
    <w:rsid w:val="000D3598"/>
    <w:rsid w:val="000D3805"/>
    <w:rsid w:val="000E1840"/>
    <w:rsid w:val="000E53FD"/>
    <w:rsid w:val="000E6078"/>
    <w:rsid w:val="000F0D4B"/>
    <w:rsid w:val="000F1FB6"/>
    <w:rsid w:val="000F38AB"/>
    <w:rsid w:val="000F7A8B"/>
    <w:rsid w:val="00100DF0"/>
    <w:rsid w:val="00103D1E"/>
    <w:rsid w:val="00110509"/>
    <w:rsid w:val="00111D5D"/>
    <w:rsid w:val="001129F7"/>
    <w:rsid w:val="0011423C"/>
    <w:rsid w:val="0012538B"/>
    <w:rsid w:val="00125D70"/>
    <w:rsid w:val="00141876"/>
    <w:rsid w:val="001456DF"/>
    <w:rsid w:val="00145CEE"/>
    <w:rsid w:val="0014776B"/>
    <w:rsid w:val="001522B0"/>
    <w:rsid w:val="00162011"/>
    <w:rsid w:val="001713C7"/>
    <w:rsid w:val="00180A54"/>
    <w:rsid w:val="00186B74"/>
    <w:rsid w:val="00197589"/>
    <w:rsid w:val="00197B9D"/>
    <w:rsid w:val="001A0F3B"/>
    <w:rsid w:val="001A5C00"/>
    <w:rsid w:val="001B17D3"/>
    <w:rsid w:val="001C5035"/>
    <w:rsid w:val="001C582E"/>
    <w:rsid w:val="001D1ABF"/>
    <w:rsid w:val="001E4E5C"/>
    <w:rsid w:val="001F202E"/>
    <w:rsid w:val="002022CC"/>
    <w:rsid w:val="00204F8E"/>
    <w:rsid w:val="00216C86"/>
    <w:rsid w:val="00223921"/>
    <w:rsid w:val="00235D85"/>
    <w:rsid w:val="00251530"/>
    <w:rsid w:val="00255399"/>
    <w:rsid w:val="00255FE4"/>
    <w:rsid w:val="00257991"/>
    <w:rsid w:val="002716C5"/>
    <w:rsid w:val="00274B6C"/>
    <w:rsid w:val="00276B7D"/>
    <w:rsid w:val="0028382D"/>
    <w:rsid w:val="00284F5F"/>
    <w:rsid w:val="002A020F"/>
    <w:rsid w:val="002B0BB0"/>
    <w:rsid w:val="002B5489"/>
    <w:rsid w:val="002B59F0"/>
    <w:rsid w:val="002D4691"/>
    <w:rsid w:val="002E0E8E"/>
    <w:rsid w:val="002E5182"/>
    <w:rsid w:val="002F0BBA"/>
    <w:rsid w:val="002F6DA2"/>
    <w:rsid w:val="002F71AC"/>
    <w:rsid w:val="00305251"/>
    <w:rsid w:val="00310A39"/>
    <w:rsid w:val="00311E94"/>
    <w:rsid w:val="00312ACC"/>
    <w:rsid w:val="00313AE2"/>
    <w:rsid w:val="0031467D"/>
    <w:rsid w:val="0031755D"/>
    <w:rsid w:val="00325F45"/>
    <w:rsid w:val="0032644F"/>
    <w:rsid w:val="003330A3"/>
    <w:rsid w:val="00342883"/>
    <w:rsid w:val="00353222"/>
    <w:rsid w:val="00356FA8"/>
    <w:rsid w:val="003618F0"/>
    <w:rsid w:val="0036691F"/>
    <w:rsid w:val="003671D2"/>
    <w:rsid w:val="0037698B"/>
    <w:rsid w:val="0038782F"/>
    <w:rsid w:val="00393943"/>
    <w:rsid w:val="00396E06"/>
    <w:rsid w:val="003A3D24"/>
    <w:rsid w:val="003A4122"/>
    <w:rsid w:val="003A7254"/>
    <w:rsid w:val="003B2495"/>
    <w:rsid w:val="003B4760"/>
    <w:rsid w:val="003B5D28"/>
    <w:rsid w:val="003C4B04"/>
    <w:rsid w:val="003D5B6B"/>
    <w:rsid w:val="003E08CF"/>
    <w:rsid w:val="003F2B83"/>
    <w:rsid w:val="003F3CB1"/>
    <w:rsid w:val="003F6F76"/>
    <w:rsid w:val="00406290"/>
    <w:rsid w:val="004150D7"/>
    <w:rsid w:val="004215A6"/>
    <w:rsid w:val="00422BF6"/>
    <w:rsid w:val="00427FC3"/>
    <w:rsid w:val="00430FE6"/>
    <w:rsid w:val="00432080"/>
    <w:rsid w:val="00436D5C"/>
    <w:rsid w:val="00436DA5"/>
    <w:rsid w:val="004413CD"/>
    <w:rsid w:val="00441A9E"/>
    <w:rsid w:val="00443C95"/>
    <w:rsid w:val="0044520B"/>
    <w:rsid w:val="00445926"/>
    <w:rsid w:val="00457E30"/>
    <w:rsid w:val="00460317"/>
    <w:rsid w:val="00463A30"/>
    <w:rsid w:val="00466A8B"/>
    <w:rsid w:val="0047303C"/>
    <w:rsid w:val="00481C52"/>
    <w:rsid w:val="004A6CED"/>
    <w:rsid w:val="004B1B82"/>
    <w:rsid w:val="004B445C"/>
    <w:rsid w:val="004D1EB4"/>
    <w:rsid w:val="004D7B63"/>
    <w:rsid w:val="004D7CC6"/>
    <w:rsid w:val="004E7039"/>
    <w:rsid w:val="004F05B9"/>
    <w:rsid w:val="004F3557"/>
    <w:rsid w:val="004F35E9"/>
    <w:rsid w:val="004F450C"/>
    <w:rsid w:val="00500323"/>
    <w:rsid w:val="00517191"/>
    <w:rsid w:val="00525C7D"/>
    <w:rsid w:val="005363FF"/>
    <w:rsid w:val="005404AD"/>
    <w:rsid w:val="00544509"/>
    <w:rsid w:val="00554195"/>
    <w:rsid w:val="00555D3B"/>
    <w:rsid w:val="00560522"/>
    <w:rsid w:val="00561B82"/>
    <w:rsid w:val="00562C0A"/>
    <w:rsid w:val="00565E30"/>
    <w:rsid w:val="00566909"/>
    <w:rsid w:val="0058031B"/>
    <w:rsid w:val="00582936"/>
    <w:rsid w:val="005873C5"/>
    <w:rsid w:val="00596954"/>
    <w:rsid w:val="005B5BEB"/>
    <w:rsid w:val="005C23E6"/>
    <w:rsid w:val="005C548B"/>
    <w:rsid w:val="005D6130"/>
    <w:rsid w:val="005D76F7"/>
    <w:rsid w:val="005E026A"/>
    <w:rsid w:val="005E61B6"/>
    <w:rsid w:val="005F5883"/>
    <w:rsid w:val="005F6E74"/>
    <w:rsid w:val="00605876"/>
    <w:rsid w:val="00613F17"/>
    <w:rsid w:val="00624FEB"/>
    <w:rsid w:val="006256FC"/>
    <w:rsid w:val="00636317"/>
    <w:rsid w:val="00640E96"/>
    <w:rsid w:val="00646503"/>
    <w:rsid w:val="00656741"/>
    <w:rsid w:val="00661BE1"/>
    <w:rsid w:val="006621B2"/>
    <w:rsid w:val="00666DB5"/>
    <w:rsid w:val="006718C8"/>
    <w:rsid w:val="006770AD"/>
    <w:rsid w:val="0067760F"/>
    <w:rsid w:val="00691263"/>
    <w:rsid w:val="00693315"/>
    <w:rsid w:val="006A1756"/>
    <w:rsid w:val="006A1CE8"/>
    <w:rsid w:val="006A22A3"/>
    <w:rsid w:val="006A43EB"/>
    <w:rsid w:val="006A7454"/>
    <w:rsid w:val="006A74FA"/>
    <w:rsid w:val="006B145B"/>
    <w:rsid w:val="006B6766"/>
    <w:rsid w:val="006C1B07"/>
    <w:rsid w:val="006C2B04"/>
    <w:rsid w:val="006D1E81"/>
    <w:rsid w:val="006D5147"/>
    <w:rsid w:val="006E10E6"/>
    <w:rsid w:val="006E6B3C"/>
    <w:rsid w:val="006F2F29"/>
    <w:rsid w:val="006F4476"/>
    <w:rsid w:val="0070130A"/>
    <w:rsid w:val="0071159C"/>
    <w:rsid w:val="00712494"/>
    <w:rsid w:val="0072486C"/>
    <w:rsid w:val="00746E03"/>
    <w:rsid w:val="0074716D"/>
    <w:rsid w:val="00752BB7"/>
    <w:rsid w:val="007627DF"/>
    <w:rsid w:val="00774831"/>
    <w:rsid w:val="00775CF1"/>
    <w:rsid w:val="00783F98"/>
    <w:rsid w:val="00787B7C"/>
    <w:rsid w:val="00795476"/>
    <w:rsid w:val="007A4A96"/>
    <w:rsid w:val="007A4F82"/>
    <w:rsid w:val="007C0D9C"/>
    <w:rsid w:val="007D2B44"/>
    <w:rsid w:val="007D7C6C"/>
    <w:rsid w:val="007E5D08"/>
    <w:rsid w:val="007F33D1"/>
    <w:rsid w:val="007F3850"/>
    <w:rsid w:val="007F3A51"/>
    <w:rsid w:val="007F75DA"/>
    <w:rsid w:val="00802360"/>
    <w:rsid w:val="00804344"/>
    <w:rsid w:val="008073A5"/>
    <w:rsid w:val="008124C8"/>
    <w:rsid w:val="00814C60"/>
    <w:rsid w:val="008176D5"/>
    <w:rsid w:val="0082670A"/>
    <w:rsid w:val="0082706D"/>
    <w:rsid w:val="00830A9A"/>
    <w:rsid w:val="00831DCC"/>
    <w:rsid w:val="00831EA9"/>
    <w:rsid w:val="008365A4"/>
    <w:rsid w:val="00846990"/>
    <w:rsid w:val="0085217B"/>
    <w:rsid w:val="0085733F"/>
    <w:rsid w:val="00874D75"/>
    <w:rsid w:val="008760EC"/>
    <w:rsid w:val="008772EA"/>
    <w:rsid w:val="0088423F"/>
    <w:rsid w:val="0089051C"/>
    <w:rsid w:val="0089450F"/>
    <w:rsid w:val="008961AF"/>
    <w:rsid w:val="00896513"/>
    <w:rsid w:val="00897A16"/>
    <w:rsid w:val="008B7082"/>
    <w:rsid w:val="008C3CEB"/>
    <w:rsid w:val="008D5CFA"/>
    <w:rsid w:val="008D5DE8"/>
    <w:rsid w:val="008D610C"/>
    <w:rsid w:val="008E32B5"/>
    <w:rsid w:val="008F137E"/>
    <w:rsid w:val="008F7401"/>
    <w:rsid w:val="00901EC2"/>
    <w:rsid w:val="009063BE"/>
    <w:rsid w:val="00906C5C"/>
    <w:rsid w:val="00916717"/>
    <w:rsid w:val="00924439"/>
    <w:rsid w:val="00927E3B"/>
    <w:rsid w:val="00931E2F"/>
    <w:rsid w:val="00932C6D"/>
    <w:rsid w:val="0094052A"/>
    <w:rsid w:val="00943446"/>
    <w:rsid w:val="009442BC"/>
    <w:rsid w:val="009479EC"/>
    <w:rsid w:val="009534E5"/>
    <w:rsid w:val="0095377B"/>
    <w:rsid w:val="0095409B"/>
    <w:rsid w:val="009544A1"/>
    <w:rsid w:val="00955648"/>
    <w:rsid w:val="00957723"/>
    <w:rsid w:val="009652E0"/>
    <w:rsid w:val="009854E8"/>
    <w:rsid w:val="00993360"/>
    <w:rsid w:val="009C5ADC"/>
    <w:rsid w:val="009C6A5E"/>
    <w:rsid w:val="009D605B"/>
    <w:rsid w:val="00A008FC"/>
    <w:rsid w:val="00A014AE"/>
    <w:rsid w:val="00A02A19"/>
    <w:rsid w:val="00A218D5"/>
    <w:rsid w:val="00A22FA5"/>
    <w:rsid w:val="00A43CFD"/>
    <w:rsid w:val="00A56CC5"/>
    <w:rsid w:val="00A6154E"/>
    <w:rsid w:val="00A61593"/>
    <w:rsid w:val="00A62546"/>
    <w:rsid w:val="00A72D64"/>
    <w:rsid w:val="00A76F7B"/>
    <w:rsid w:val="00AA05AF"/>
    <w:rsid w:val="00AA0BDA"/>
    <w:rsid w:val="00AA1575"/>
    <w:rsid w:val="00AA1AED"/>
    <w:rsid w:val="00AA6CA5"/>
    <w:rsid w:val="00AB62B7"/>
    <w:rsid w:val="00AC0305"/>
    <w:rsid w:val="00AC3409"/>
    <w:rsid w:val="00AC73AF"/>
    <w:rsid w:val="00AD2BD3"/>
    <w:rsid w:val="00AD6746"/>
    <w:rsid w:val="00AE06EC"/>
    <w:rsid w:val="00AE192E"/>
    <w:rsid w:val="00AE2DB1"/>
    <w:rsid w:val="00AE65F2"/>
    <w:rsid w:val="00AF38AC"/>
    <w:rsid w:val="00B0290B"/>
    <w:rsid w:val="00B1369A"/>
    <w:rsid w:val="00B2347B"/>
    <w:rsid w:val="00B32E01"/>
    <w:rsid w:val="00B44EA4"/>
    <w:rsid w:val="00B566F4"/>
    <w:rsid w:val="00B74F8E"/>
    <w:rsid w:val="00B87AB9"/>
    <w:rsid w:val="00B909F4"/>
    <w:rsid w:val="00B90D15"/>
    <w:rsid w:val="00B922F0"/>
    <w:rsid w:val="00B935A0"/>
    <w:rsid w:val="00B96AC8"/>
    <w:rsid w:val="00BA2BE3"/>
    <w:rsid w:val="00BA7D1F"/>
    <w:rsid w:val="00BB335F"/>
    <w:rsid w:val="00BB4C61"/>
    <w:rsid w:val="00BC517C"/>
    <w:rsid w:val="00BC68F4"/>
    <w:rsid w:val="00BD0CD2"/>
    <w:rsid w:val="00BD2C91"/>
    <w:rsid w:val="00BE0F56"/>
    <w:rsid w:val="00BE740D"/>
    <w:rsid w:val="00C108CE"/>
    <w:rsid w:val="00C11DF3"/>
    <w:rsid w:val="00C203A8"/>
    <w:rsid w:val="00C32E11"/>
    <w:rsid w:val="00C33D10"/>
    <w:rsid w:val="00C378DF"/>
    <w:rsid w:val="00C525A9"/>
    <w:rsid w:val="00C85D4E"/>
    <w:rsid w:val="00C87A8A"/>
    <w:rsid w:val="00C94C26"/>
    <w:rsid w:val="00CA0539"/>
    <w:rsid w:val="00CA717F"/>
    <w:rsid w:val="00CB2E38"/>
    <w:rsid w:val="00CB7F70"/>
    <w:rsid w:val="00CB7F86"/>
    <w:rsid w:val="00CC0BE9"/>
    <w:rsid w:val="00CE2EB4"/>
    <w:rsid w:val="00CE6225"/>
    <w:rsid w:val="00CF3585"/>
    <w:rsid w:val="00CF62CF"/>
    <w:rsid w:val="00CF7C8A"/>
    <w:rsid w:val="00D00759"/>
    <w:rsid w:val="00D01DB2"/>
    <w:rsid w:val="00D0252A"/>
    <w:rsid w:val="00D10F88"/>
    <w:rsid w:val="00D12FFC"/>
    <w:rsid w:val="00D168AE"/>
    <w:rsid w:val="00D20724"/>
    <w:rsid w:val="00D27640"/>
    <w:rsid w:val="00D37780"/>
    <w:rsid w:val="00D41017"/>
    <w:rsid w:val="00D47302"/>
    <w:rsid w:val="00D70E6F"/>
    <w:rsid w:val="00D71F99"/>
    <w:rsid w:val="00D84CC4"/>
    <w:rsid w:val="00D950D9"/>
    <w:rsid w:val="00DA2677"/>
    <w:rsid w:val="00DA7B3F"/>
    <w:rsid w:val="00DB4D74"/>
    <w:rsid w:val="00DC484F"/>
    <w:rsid w:val="00DC6FAF"/>
    <w:rsid w:val="00DD5852"/>
    <w:rsid w:val="00DE0E9A"/>
    <w:rsid w:val="00DE12C9"/>
    <w:rsid w:val="00DE461D"/>
    <w:rsid w:val="00DE7A98"/>
    <w:rsid w:val="00DF0E6F"/>
    <w:rsid w:val="00DF2E01"/>
    <w:rsid w:val="00E031C4"/>
    <w:rsid w:val="00E0422F"/>
    <w:rsid w:val="00E0586D"/>
    <w:rsid w:val="00E1087C"/>
    <w:rsid w:val="00E11D3A"/>
    <w:rsid w:val="00E12A6A"/>
    <w:rsid w:val="00E2031C"/>
    <w:rsid w:val="00E26468"/>
    <w:rsid w:val="00E32AF7"/>
    <w:rsid w:val="00E42869"/>
    <w:rsid w:val="00E47017"/>
    <w:rsid w:val="00E47DD4"/>
    <w:rsid w:val="00E51852"/>
    <w:rsid w:val="00E5524A"/>
    <w:rsid w:val="00E57CD6"/>
    <w:rsid w:val="00E64EA5"/>
    <w:rsid w:val="00E70BD8"/>
    <w:rsid w:val="00E7234F"/>
    <w:rsid w:val="00E7489C"/>
    <w:rsid w:val="00E76062"/>
    <w:rsid w:val="00E80B41"/>
    <w:rsid w:val="00E857B7"/>
    <w:rsid w:val="00E8720F"/>
    <w:rsid w:val="00E94725"/>
    <w:rsid w:val="00EA7CD3"/>
    <w:rsid w:val="00EB133C"/>
    <w:rsid w:val="00EB2D46"/>
    <w:rsid w:val="00EC3A37"/>
    <w:rsid w:val="00EC572F"/>
    <w:rsid w:val="00ED53F6"/>
    <w:rsid w:val="00ED584C"/>
    <w:rsid w:val="00EF4E86"/>
    <w:rsid w:val="00F07DB9"/>
    <w:rsid w:val="00F07F0E"/>
    <w:rsid w:val="00F103DB"/>
    <w:rsid w:val="00F10627"/>
    <w:rsid w:val="00F10E39"/>
    <w:rsid w:val="00F13228"/>
    <w:rsid w:val="00F202AC"/>
    <w:rsid w:val="00F2613D"/>
    <w:rsid w:val="00F42A54"/>
    <w:rsid w:val="00F44494"/>
    <w:rsid w:val="00F475DF"/>
    <w:rsid w:val="00F51473"/>
    <w:rsid w:val="00F52E23"/>
    <w:rsid w:val="00F542B9"/>
    <w:rsid w:val="00F5630B"/>
    <w:rsid w:val="00F600B4"/>
    <w:rsid w:val="00F6750D"/>
    <w:rsid w:val="00F67521"/>
    <w:rsid w:val="00F72CF6"/>
    <w:rsid w:val="00F751A5"/>
    <w:rsid w:val="00F82F52"/>
    <w:rsid w:val="00F83C8D"/>
    <w:rsid w:val="00F847D6"/>
    <w:rsid w:val="00F9652B"/>
    <w:rsid w:val="00FA056B"/>
    <w:rsid w:val="00FA403A"/>
    <w:rsid w:val="00FA63CF"/>
    <w:rsid w:val="00FC1DCF"/>
    <w:rsid w:val="00FC598B"/>
    <w:rsid w:val="00FC6BC8"/>
    <w:rsid w:val="00FF280D"/>
    <w:rsid w:val="00FF28A3"/>
    <w:rsid w:val="00FF4C31"/>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FAF733"/>
  <w15:chartTrackingRefBased/>
  <w15:docId w15:val="{BC87590C-C765-5F4B-AEE1-785715AB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548B"/>
  </w:style>
  <w:style w:type="paragraph" w:styleId="Ttulo1">
    <w:name w:val="heading 1"/>
    <w:basedOn w:val="Normal"/>
    <w:next w:val="Normal"/>
    <w:link w:val="Ttulo1Car"/>
    <w:uiPriority w:val="9"/>
    <w:qFormat/>
    <w:rsid w:val="00BC517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F2613D"/>
    <w:pPr>
      <w:keepNext/>
      <w:keepLines/>
      <w:spacing w:before="160" w:after="120"/>
      <w:outlineLvl w:val="1"/>
    </w:pPr>
    <w:rPr>
      <w:rFonts w:ascii="Century Gothic" w:eastAsiaTheme="majorEastAsia" w:hAnsi="Century Gothic" w:cstheme="majorBidi"/>
      <w:b/>
      <w:color w:val="20275D"/>
      <w:sz w:val="22"/>
      <w:szCs w:val="26"/>
    </w:rPr>
  </w:style>
  <w:style w:type="paragraph" w:styleId="Ttulo3">
    <w:name w:val="heading 3"/>
    <w:basedOn w:val="Normal"/>
    <w:next w:val="Normal"/>
    <w:link w:val="Ttulo3Car"/>
    <w:uiPriority w:val="9"/>
    <w:unhideWhenUsed/>
    <w:qFormat/>
    <w:rsid w:val="00162011"/>
    <w:pPr>
      <w:keepNext/>
      <w:keepLines/>
      <w:spacing w:before="160" w:after="120"/>
      <w:outlineLvl w:val="2"/>
    </w:pPr>
    <w:rPr>
      <w:rFonts w:ascii="Century Gothic" w:eastAsiaTheme="majorEastAsia" w:hAnsi="Century Gothic" w:cstheme="majorBidi"/>
      <w:b/>
      <w:color w:val="20275D"/>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Mencinsinresolver1">
    <w:name w:val="Mención sin resolver1"/>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71159C"/>
  </w:style>
  <w:style w:type="paragraph" w:styleId="Prrafodelista">
    <w:name w:val="List Paragraph"/>
    <w:aliases w:val="Capítulo,TIT 2 IND,Colorful List - Accent 11,lp1,Texto,Titulo parrafo,Liste 1,Bullets,References,Párrafo 3,Bullet 1,Use Case List Paragraph,List Paragraph1,Numbered List Paragraph,123 List Paragraph,Celula,tEXTO,Titulo 1"/>
    <w:basedOn w:val="Normal"/>
    <w:link w:val="PrrafodelistaCar"/>
    <w:uiPriority w:val="34"/>
    <w:qFormat/>
    <w:rsid w:val="00436D5C"/>
    <w:pPr>
      <w:spacing w:after="200" w:line="276" w:lineRule="auto"/>
      <w:ind w:left="720"/>
      <w:contextualSpacing/>
      <w:jc w:val="both"/>
    </w:pPr>
    <w:rPr>
      <w:rFonts w:ascii="Arial" w:hAnsi="Arial"/>
      <w:sz w:val="20"/>
      <w:szCs w:val="22"/>
    </w:rPr>
  </w:style>
  <w:style w:type="character" w:customStyle="1" w:styleId="PrrafodelistaCar">
    <w:name w:val="Párrafo de lista Car"/>
    <w:aliases w:val="Capítulo Car,TIT 2 IND Car,Colorful List - Accent 11 Car,lp1 Car,Texto Car,Titulo parrafo Car,Liste 1 Car,Bullets Car,References Car,Párrafo 3 Car,Bullet 1 Car,Use Case List Paragraph Car,List Paragraph1 Car,123 List Paragraph Car"/>
    <w:link w:val="Prrafodelista"/>
    <w:uiPriority w:val="34"/>
    <w:qFormat/>
    <w:rsid w:val="00436D5C"/>
    <w:rPr>
      <w:rFonts w:ascii="Arial" w:hAnsi="Arial"/>
      <w:sz w:val="20"/>
      <w:szCs w:val="22"/>
    </w:rPr>
  </w:style>
  <w:style w:type="character" w:customStyle="1" w:styleId="Ttulo2Car">
    <w:name w:val="Título 2 Car"/>
    <w:basedOn w:val="Fuentedeprrafopredeter"/>
    <w:link w:val="Ttulo2"/>
    <w:uiPriority w:val="9"/>
    <w:rsid w:val="00F2613D"/>
    <w:rPr>
      <w:rFonts w:ascii="Century Gothic" w:eastAsiaTheme="majorEastAsia" w:hAnsi="Century Gothic" w:cstheme="majorBidi"/>
      <w:b/>
      <w:color w:val="20275D"/>
      <w:sz w:val="22"/>
      <w:szCs w:val="26"/>
    </w:rPr>
  </w:style>
  <w:style w:type="paragraph" w:styleId="Textonotapie">
    <w:name w:val="footnote text"/>
    <w:basedOn w:val="Normal"/>
    <w:link w:val="TextonotapieCar"/>
    <w:uiPriority w:val="99"/>
    <w:unhideWhenUsed/>
    <w:rsid w:val="00E0586D"/>
    <w:pPr>
      <w:jc w:val="both"/>
    </w:pPr>
    <w:rPr>
      <w:rFonts w:ascii="Arial" w:hAnsi="Arial"/>
      <w:sz w:val="20"/>
      <w:szCs w:val="20"/>
    </w:rPr>
  </w:style>
  <w:style w:type="character" w:customStyle="1" w:styleId="TextonotapieCar">
    <w:name w:val="Texto nota pie Car"/>
    <w:basedOn w:val="Fuentedeprrafopredeter"/>
    <w:link w:val="Textonotapie"/>
    <w:uiPriority w:val="99"/>
    <w:rsid w:val="00E0586D"/>
    <w:rPr>
      <w:rFonts w:ascii="Arial" w:hAnsi="Arial"/>
      <w:sz w:val="20"/>
      <w:szCs w:val="20"/>
    </w:rPr>
  </w:style>
  <w:style w:type="character" w:styleId="Refdenotaalpie">
    <w:name w:val="footnote reference"/>
    <w:aliases w:val="BVI fnr,referencia nota al pie"/>
    <w:basedOn w:val="Fuentedeprrafopredeter"/>
    <w:uiPriority w:val="99"/>
    <w:unhideWhenUsed/>
    <w:rsid w:val="00E0586D"/>
    <w:rPr>
      <w:vertAlign w:val="superscript"/>
    </w:rPr>
  </w:style>
  <w:style w:type="table" w:styleId="Tablaconcuadrcula">
    <w:name w:val="Table Grid"/>
    <w:basedOn w:val="Tablanormal"/>
    <w:uiPriority w:val="59"/>
    <w:rsid w:val="00E058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aliases w:val="Arial"/>
    <w:basedOn w:val="Normal"/>
    <w:next w:val="Normal"/>
    <w:uiPriority w:val="35"/>
    <w:unhideWhenUsed/>
    <w:qFormat/>
    <w:rsid w:val="00E0586D"/>
    <w:pPr>
      <w:spacing w:after="200"/>
      <w:jc w:val="both"/>
    </w:pPr>
    <w:rPr>
      <w:rFonts w:ascii="Arial" w:hAnsi="Arial"/>
      <w:b/>
      <w:bCs/>
      <w:color w:val="4472C4" w:themeColor="accent1"/>
      <w:sz w:val="18"/>
      <w:szCs w:val="18"/>
    </w:rPr>
  </w:style>
  <w:style w:type="character" w:customStyle="1" w:styleId="Ttulo3Car">
    <w:name w:val="Título 3 Car"/>
    <w:basedOn w:val="Fuentedeprrafopredeter"/>
    <w:link w:val="Ttulo3"/>
    <w:uiPriority w:val="9"/>
    <w:rsid w:val="00162011"/>
    <w:rPr>
      <w:rFonts w:ascii="Century Gothic" w:eastAsiaTheme="majorEastAsia" w:hAnsi="Century Gothic" w:cstheme="majorBidi"/>
      <w:b/>
      <w:color w:val="20275D"/>
      <w:sz w:val="22"/>
    </w:rPr>
  </w:style>
  <w:style w:type="character" w:customStyle="1" w:styleId="Ttulo1Car">
    <w:name w:val="Título 1 Car"/>
    <w:basedOn w:val="Fuentedeprrafopredeter"/>
    <w:link w:val="Ttulo1"/>
    <w:uiPriority w:val="9"/>
    <w:rsid w:val="00BC517C"/>
    <w:rPr>
      <w:rFonts w:asciiTheme="majorHAnsi" w:eastAsiaTheme="majorEastAsia" w:hAnsiTheme="majorHAnsi" w:cstheme="majorBidi"/>
      <w:color w:val="2F5496" w:themeColor="accent1" w:themeShade="BF"/>
      <w:sz w:val="32"/>
      <w:szCs w:val="32"/>
    </w:rPr>
  </w:style>
  <w:style w:type="paragraph" w:customStyle="1" w:styleId="Estilo1">
    <w:name w:val="Estilo1"/>
    <w:basedOn w:val="Ttulo3"/>
    <w:link w:val="Estilo1Car"/>
    <w:qFormat/>
    <w:rsid w:val="00BC517C"/>
    <w:pPr>
      <w:tabs>
        <w:tab w:val="left" w:pos="567"/>
      </w:tabs>
      <w:spacing w:before="120"/>
      <w:jc w:val="both"/>
    </w:pPr>
    <w:rPr>
      <w:szCs w:val="44"/>
    </w:rPr>
  </w:style>
  <w:style w:type="character" w:customStyle="1" w:styleId="Estilo1Car">
    <w:name w:val="Estilo1 Car"/>
    <w:basedOn w:val="Ttulo3Car"/>
    <w:link w:val="Estilo1"/>
    <w:rsid w:val="00BC517C"/>
    <w:rPr>
      <w:rFonts w:ascii="Century Gothic" w:eastAsiaTheme="majorEastAsia" w:hAnsi="Century Gothic" w:cstheme="majorBidi"/>
      <w:b/>
      <w:color w:val="20275D"/>
      <w:sz w:val="22"/>
      <w:szCs w:val="44"/>
    </w:rPr>
  </w:style>
  <w:style w:type="paragraph" w:customStyle="1" w:styleId="Estilo3">
    <w:name w:val="Estilo3"/>
    <w:basedOn w:val="Estilo1"/>
    <w:link w:val="Estilo3Car"/>
    <w:qFormat/>
    <w:rsid w:val="00BC517C"/>
    <w:pPr>
      <w:spacing w:line="360" w:lineRule="auto"/>
    </w:pPr>
    <w:rPr>
      <w:sz w:val="20"/>
    </w:rPr>
  </w:style>
  <w:style w:type="character" w:customStyle="1" w:styleId="Estilo3Car">
    <w:name w:val="Estilo3 Car"/>
    <w:basedOn w:val="Estilo1Car"/>
    <w:link w:val="Estilo3"/>
    <w:rsid w:val="00BC517C"/>
    <w:rPr>
      <w:rFonts w:ascii="Century Gothic" w:eastAsiaTheme="majorEastAsia" w:hAnsi="Century Gothic" w:cstheme="majorBidi"/>
      <w:b/>
      <w:color w:val="20275D"/>
      <w:sz w:val="20"/>
      <w:szCs w:val="44"/>
    </w:rPr>
  </w:style>
  <w:style w:type="paragraph" w:styleId="TtulodeTDC">
    <w:name w:val="TOC Heading"/>
    <w:basedOn w:val="Ttulo1"/>
    <w:next w:val="Normal"/>
    <w:uiPriority w:val="39"/>
    <w:unhideWhenUsed/>
    <w:qFormat/>
    <w:rsid w:val="00CA0539"/>
    <w:pPr>
      <w:spacing w:line="259" w:lineRule="auto"/>
      <w:outlineLvl w:val="9"/>
    </w:pPr>
    <w:rPr>
      <w:lang w:eastAsia="es-EC"/>
    </w:rPr>
  </w:style>
  <w:style w:type="paragraph" w:styleId="TDC3">
    <w:name w:val="toc 3"/>
    <w:basedOn w:val="Normal"/>
    <w:next w:val="Normal"/>
    <w:autoRedefine/>
    <w:uiPriority w:val="39"/>
    <w:unhideWhenUsed/>
    <w:rsid w:val="002022CC"/>
    <w:pPr>
      <w:tabs>
        <w:tab w:val="left" w:pos="851"/>
        <w:tab w:val="right" w:leader="dot" w:pos="8488"/>
      </w:tabs>
      <w:spacing w:after="100" w:line="276" w:lineRule="auto"/>
      <w:ind w:left="284"/>
    </w:pPr>
  </w:style>
  <w:style w:type="paragraph" w:styleId="TDC2">
    <w:name w:val="toc 2"/>
    <w:basedOn w:val="Normal"/>
    <w:next w:val="Normal"/>
    <w:autoRedefine/>
    <w:uiPriority w:val="39"/>
    <w:unhideWhenUsed/>
    <w:rsid w:val="002022CC"/>
    <w:pPr>
      <w:tabs>
        <w:tab w:val="left" w:pos="880"/>
        <w:tab w:val="right" w:leader="dot" w:pos="8488"/>
      </w:tabs>
      <w:spacing w:after="100" w:line="276" w:lineRule="auto"/>
      <w:ind w:left="851" w:hanging="567"/>
    </w:pPr>
  </w:style>
  <w:style w:type="character" w:styleId="Refdecomentario">
    <w:name w:val="annotation reference"/>
    <w:basedOn w:val="Fuentedeprrafopredeter"/>
    <w:uiPriority w:val="99"/>
    <w:semiHidden/>
    <w:unhideWhenUsed/>
    <w:rsid w:val="000E53FD"/>
    <w:rPr>
      <w:sz w:val="16"/>
      <w:szCs w:val="16"/>
    </w:rPr>
  </w:style>
  <w:style w:type="paragraph" w:styleId="Textocomentario">
    <w:name w:val="annotation text"/>
    <w:basedOn w:val="Normal"/>
    <w:link w:val="TextocomentarioCar"/>
    <w:uiPriority w:val="99"/>
    <w:unhideWhenUsed/>
    <w:rsid w:val="000E53FD"/>
    <w:rPr>
      <w:sz w:val="20"/>
      <w:szCs w:val="20"/>
    </w:rPr>
  </w:style>
  <w:style w:type="character" w:customStyle="1" w:styleId="TextocomentarioCar">
    <w:name w:val="Texto comentario Car"/>
    <w:basedOn w:val="Fuentedeprrafopredeter"/>
    <w:link w:val="Textocomentario"/>
    <w:uiPriority w:val="99"/>
    <w:rsid w:val="000E53FD"/>
    <w:rPr>
      <w:sz w:val="20"/>
      <w:szCs w:val="20"/>
    </w:rPr>
  </w:style>
  <w:style w:type="paragraph" w:styleId="Asuntodelcomentario">
    <w:name w:val="annotation subject"/>
    <w:basedOn w:val="Textocomentario"/>
    <w:next w:val="Textocomentario"/>
    <w:link w:val="AsuntodelcomentarioCar"/>
    <w:uiPriority w:val="99"/>
    <w:semiHidden/>
    <w:unhideWhenUsed/>
    <w:rsid w:val="000E53FD"/>
    <w:rPr>
      <w:b/>
      <w:bCs/>
    </w:rPr>
  </w:style>
  <w:style w:type="character" w:customStyle="1" w:styleId="AsuntodelcomentarioCar">
    <w:name w:val="Asunto del comentario Car"/>
    <w:basedOn w:val="TextocomentarioCar"/>
    <w:link w:val="Asuntodelcomentario"/>
    <w:uiPriority w:val="99"/>
    <w:semiHidden/>
    <w:rsid w:val="000E53FD"/>
    <w:rPr>
      <w:b/>
      <w:bCs/>
      <w:sz w:val="20"/>
      <w:szCs w:val="20"/>
    </w:rPr>
  </w:style>
  <w:style w:type="paragraph" w:styleId="Textodeglobo">
    <w:name w:val="Balloon Text"/>
    <w:basedOn w:val="Normal"/>
    <w:link w:val="TextodegloboCar"/>
    <w:uiPriority w:val="99"/>
    <w:semiHidden/>
    <w:unhideWhenUsed/>
    <w:rsid w:val="000E53F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E53FD"/>
    <w:rPr>
      <w:rFonts w:ascii="Segoe UI" w:hAnsi="Segoe UI" w:cs="Segoe UI"/>
      <w:sz w:val="18"/>
      <w:szCs w:val="18"/>
    </w:rPr>
  </w:style>
  <w:style w:type="table" w:customStyle="1" w:styleId="Tablaconcuadrcula2">
    <w:name w:val="Tabla con cuadrícula2"/>
    <w:basedOn w:val="Tablanormal"/>
    <w:next w:val="Tablaconcuadrcula"/>
    <w:uiPriority w:val="59"/>
    <w:rsid w:val="002F6DA2"/>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D00759"/>
    <w:pPr>
      <w:spacing w:after="160" w:line="259" w:lineRule="auto"/>
    </w:pPr>
    <w:rPr>
      <w:rFonts w:ascii="Century Gothic" w:hAnsi="Century Gothic"/>
      <w:b/>
      <w:bCs/>
      <w:iCs/>
      <w:color w:val="595959" w:themeColor="text1" w:themeTint="A6"/>
      <w:szCs w:val="22"/>
    </w:rPr>
  </w:style>
  <w:style w:type="table" w:customStyle="1" w:styleId="Tabladecuadrcula6concolores-nfasis11">
    <w:name w:val="Tabla de cuadrícula 6 con colores - Énfasis 11"/>
    <w:basedOn w:val="Tablanormal"/>
    <w:next w:val="Tabladecuadrcula6concolores-nfasis1"/>
    <w:uiPriority w:val="51"/>
    <w:rsid w:val="001129F7"/>
    <w:rPr>
      <w:rFonts w:ascii="Century Gothic" w:hAnsi="Century Gothic"/>
      <w:color w:val="002060"/>
      <w:sz w:val="18"/>
      <w:szCs w:val="18"/>
      <w:lang w:val="es-E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adecuadrcula6concolores-nfasis1">
    <w:name w:val="Grid Table 6 Colorful Accent 1"/>
    <w:basedOn w:val="Tablanormal"/>
    <w:uiPriority w:val="51"/>
    <w:rsid w:val="001129F7"/>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decuadrcula1clara1">
    <w:name w:val="Tabla de cuadrícula 1 clara1"/>
    <w:basedOn w:val="Tablanormal"/>
    <w:next w:val="Tabladecuadrcula1clara"/>
    <w:uiPriority w:val="46"/>
    <w:rsid w:val="00561B8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1clara1">
    <w:name w:val="Tabla con cuadrícula 1 clara1"/>
    <w:basedOn w:val="Tablanormal"/>
    <w:next w:val="Tabladecuadrcula1clara"/>
    <w:uiPriority w:val="46"/>
    <w:rsid w:val="00561B8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1">
    <w:name w:val="Tabla con cuadrícula1"/>
    <w:basedOn w:val="Tablanormal"/>
    <w:next w:val="Tablaconcuadrcula"/>
    <w:uiPriority w:val="39"/>
    <w:rsid w:val="00561B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1clara">
    <w:name w:val="Grid Table 1 Light"/>
    <w:basedOn w:val="Tablanormal"/>
    <w:uiPriority w:val="46"/>
    <w:rsid w:val="00561B8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Normal1">
    <w:name w:val="Table Normal1"/>
    <w:uiPriority w:val="2"/>
    <w:semiHidden/>
    <w:unhideWhenUsed/>
    <w:qFormat/>
    <w:rsid w:val="007F3850"/>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F3850"/>
    <w:pPr>
      <w:widowControl w:val="0"/>
      <w:autoSpaceDE w:val="0"/>
      <w:autoSpaceDN w:val="0"/>
      <w:ind w:left="105"/>
      <w:jc w:val="center"/>
    </w:pPr>
    <w:rPr>
      <w:rFonts w:ascii="Verdana" w:eastAsia="Verdana" w:hAnsi="Verdana" w:cs="Verdana"/>
      <w:sz w:val="22"/>
      <w:szCs w:val="22"/>
      <w:lang w:val="es-ES"/>
    </w:rPr>
  </w:style>
  <w:style w:type="table" w:customStyle="1" w:styleId="Sombreadoclaro-nfasis31">
    <w:name w:val="Sombreado claro - Énfasis 31"/>
    <w:basedOn w:val="Tablanormal"/>
    <w:next w:val="Sombreadoclaro-nfasis3"/>
    <w:uiPriority w:val="60"/>
    <w:rsid w:val="002B0BB0"/>
    <w:rPr>
      <w:rFonts w:ascii="Century Gothic" w:hAnsi="Century Gothic"/>
      <w:color w:val="7B7B7B"/>
      <w:sz w:val="18"/>
      <w:szCs w:val="18"/>
      <w:lang w:val="es-E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Sombreadoclaro-nfasis3">
    <w:name w:val="Light Shading Accent 3"/>
    <w:basedOn w:val="Tablanormal"/>
    <w:uiPriority w:val="60"/>
    <w:unhideWhenUsed/>
    <w:rsid w:val="002B0BB0"/>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Bibliografa">
    <w:name w:val="Bibliography"/>
    <w:basedOn w:val="Normal"/>
    <w:next w:val="Normal"/>
    <w:uiPriority w:val="37"/>
    <w:unhideWhenUsed/>
    <w:rsid w:val="00BB4C61"/>
  </w:style>
  <w:style w:type="paragraph" w:styleId="Textonotaalfinal">
    <w:name w:val="endnote text"/>
    <w:basedOn w:val="Normal"/>
    <w:link w:val="TextonotaalfinalCar"/>
    <w:uiPriority w:val="99"/>
    <w:semiHidden/>
    <w:unhideWhenUsed/>
    <w:rsid w:val="0085733F"/>
    <w:rPr>
      <w:sz w:val="20"/>
      <w:szCs w:val="20"/>
    </w:rPr>
  </w:style>
  <w:style w:type="character" w:customStyle="1" w:styleId="TextonotaalfinalCar">
    <w:name w:val="Texto nota al final Car"/>
    <w:basedOn w:val="Fuentedeprrafopredeter"/>
    <w:link w:val="Textonotaalfinal"/>
    <w:uiPriority w:val="99"/>
    <w:semiHidden/>
    <w:rsid w:val="0085733F"/>
    <w:rPr>
      <w:sz w:val="20"/>
      <w:szCs w:val="20"/>
    </w:rPr>
  </w:style>
  <w:style w:type="character" w:styleId="Refdenotaalfinal">
    <w:name w:val="endnote reference"/>
    <w:basedOn w:val="Fuentedeprrafopredeter"/>
    <w:uiPriority w:val="99"/>
    <w:semiHidden/>
    <w:unhideWhenUsed/>
    <w:rsid w:val="0085733F"/>
    <w:rPr>
      <w:vertAlign w:val="superscript"/>
    </w:rPr>
  </w:style>
  <w:style w:type="paragraph" w:customStyle="1" w:styleId="Default">
    <w:name w:val="Default"/>
    <w:rsid w:val="004D7B63"/>
    <w:pPr>
      <w:autoSpaceDE w:val="0"/>
      <w:autoSpaceDN w:val="0"/>
      <w:adjustRightInd w:val="0"/>
    </w:pPr>
    <w:rPr>
      <w:rFonts w:ascii="Century Gothic" w:hAnsi="Century Gothic" w:cs="Century Gothic"/>
      <w:color w:val="000000"/>
    </w:rPr>
  </w:style>
  <w:style w:type="paragraph" w:styleId="Tabladeilustraciones">
    <w:name w:val="table of figures"/>
    <w:basedOn w:val="Normal"/>
    <w:next w:val="Normal"/>
    <w:uiPriority w:val="99"/>
    <w:unhideWhenUsed/>
    <w:rsid w:val="005D6130"/>
  </w:style>
  <w:style w:type="paragraph" w:styleId="Revisin">
    <w:name w:val="Revision"/>
    <w:hidden/>
    <w:uiPriority w:val="99"/>
    <w:semiHidden/>
    <w:rsid w:val="00B87AB9"/>
  </w:style>
  <w:style w:type="paragraph" w:styleId="NormalWeb">
    <w:name w:val="Normal (Web)"/>
    <w:basedOn w:val="Normal"/>
    <w:uiPriority w:val="99"/>
    <w:semiHidden/>
    <w:unhideWhenUsed/>
    <w:rsid w:val="0044520B"/>
    <w:pPr>
      <w:spacing w:before="100" w:beforeAutospacing="1" w:after="100" w:afterAutospacing="1"/>
    </w:pPr>
    <w:rPr>
      <w:rFonts w:ascii="Times New Roman" w:eastAsiaTheme="minorEastAsia" w:hAnsi="Times New Roman" w:cs="Times New Roman"/>
      <w:lang w:eastAsia="es-EC"/>
    </w:rPr>
  </w:style>
  <w:style w:type="character" w:customStyle="1" w:styleId="Mencinsinresolver2">
    <w:name w:val="Mención sin resolver2"/>
    <w:basedOn w:val="Fuentedeprrafopredeter"/>
    <w:uiPriority w:val="99"/>
    <w:semiHidden/>
    <w:unhideWhenUsed/>
    <w:rsid w:val="006E10E6"/>
    <w:rPr>
      <w:color w:val="605E5C"/>
      <w:shd w:val="clear" w:color="auto" w:fill="E1DFDD"/>
    </w:rPr>
  </w:style>
  <w:style w:type="paragraph" w:styleId="TDC1">
    <w:name w:val="toc 1"/>
    <w:basedOn w:val="Normal"/>
    <w:next w:val="Normal"/>
    <w:autoRedefine/>
    <w:uiPriority w:val="39"/>
    <w:unhideWhenUsed/>
    <w:rsid w:val="00F67521"/>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3716">
      <w:bodyDiv w:val="1"/>
      <w:marLeft w:val="0"/>
      <w:marRight w:val="0"/>
      <w:marTop w:val="0"/>
      <w:marBottom w:val="0"/>
      <w:divBdr>
        <w:top w:val="none" w:sz="0" w:space="0" w:color="auto"/>
        <w:left w:val="none" w:sz="0" w:space="0" w:color="auto"/>
        <w:bottom w:val="none" w:sz="0" w:space="0" w:color="auto"/>
        <w:right w:val="none" w:sz="0" w:space="0" w:color="auto"/>
      </w:divBdr>
    </w:div>
    <w:div w:id="3559991">
      <w:bodyDiv w:val="1"/>
      <w:marLeft w:val="0"/>
      <w:marRight w:val="0"/>
      <w:marTop w:val="0"/>
      <w:marBottom w:val="0"/>
      <w:divBdr>
        <w:top w:val="none" w:sz="0" w:space="0" w:color="auto"/>
        <w:left w:val="none" w:sz="0" w:space="0" w:color="auto"/>
        <w:bottom w:val="none" w:sz="0" w:space="0" w:color="auto"/>
        <w:right w:val="none" w:sz="0" w:space="0" w:color="auto"/>
      </w:divBdr>
    </w:div>
    <w:div w:id="7677620">
      <w:bodyDiv w:val="1"/>
      <w:marLeft w:val="0"/>
      <w:marRight w:val="0"/>
      <w:marTop w:val="0"/>
      <w:marBottom w:val="0"/>
      <w:divBdr>
        <w:top w:val="none" w:sz="0" w:space="0" w:color="auto"/>
        <w:left w:val="none" w:sz="0" w:space="0" w:color="auto"/>
        <w:bottom w:val="none" w:sz="0" w:space="0" w:color="auto"/>
        <w:right w:val="none" w:sz="0" w:space="0" w:color="auto"/>
      </w:divBdr>
    </w:div>
    <w:div w:id="11759380">
      <w:bodyDiv w:val="1"/>
      <w:marLeft w:val="0"/>
      <w:marRight w:val="0"/>
      <w:marTop w:val="0"/>
      <w:marBottom w:val="0"/>
      <w:divBdr>
        <w:top w:val="none" w:sz="0" w:space="0" w:color="auto"/>
        <w:left w:val="none" w:sz="0" w:space="0" w:color="auto"/>
        <w:bottom w:val="none" w:sz="0" w:space="0" w:color="auto"/>
        <w:right w:val="none" w:sz="0" w:space="0" w:color="auto"/>
      </w:divBdr>
    </w:div>
    <w:div w:id="12343622">
      <w:bodyDiv w:val="1"/>
      <w:marLeft w:val="0"/>
      <w:marRight w:val="0"/>
      <w:marTop w:val="0"/>
      <w:marBottom w:val="0"/>
      <w:divBdr>
        <w:top w:val="none" w:sz="0" w:space="0" w:color="auto"/>
        <w:left w:val="none" w:sz="0" w:space="0" w:color="auto"/>
        <w:bottom w:val="none" w:sz="0" w:space="0" w:color="auto"/>
        <w:right w:val="none" w:sz="0" w:space="0" w:color="auto"/>
      </w:divBdr>
    </w:div>
    <w:div w:id="12389480">
      <w:bodyDiv w:val="1"/>
      <w:marLeft w:val="0"/>
      <w:marRight w:val="0"/>
      <w:marTop w:val="0"/>
      <w:marBottom w:val="0"/>
      <w:divBdr>
        <w:top w:val="none" w:sz="0" w:space="0" w:color="auto"/>
        <w:left w:val="none" w:sz="0" w:space="0" w:color="auto"/>
        <w:bottom w:val="none" w:sz="0" w:space="0" w:color="auto"/>
        <w:right w:val="none" w:sz="0" w:space="0" w:color="auto"/>
      </w:divBdr>
    </w:div>
    <w:div w:id="12659669">
      <w:bodyDiv w:val="1"/>
      <w:marLeft w:val="0"/>
      <w:marRight w:val="0"/>
      <w:marTop w:val="0"/>
      <w:marBottom w:val="0"/>
      <w:divBdr>
        <w:top w:val="none" w:sz="0" w:space="0" w:color="auto"/>
        <w:left w:val="none" w:sz="0" w:space="0" w:color="auto"/>
        <w:bottom w:val="none" w:sz="0" w:space="0" w:color="auto"/>
        <w:right w:val="none" w:sz="0" w:space="0" w:color="auto"/>
      </w:divBdr>
    </w:div>
    <w:div w:id="22941381">
      <w:bodyDiv w:val="1"/>
      <w:marLeft w:val="0"/>
      <w:marRight w:val="0"/>
      <w:marTop w:val="0"/>
      <w:marBottom w:val="0"/>
      <w:divBdr>
        <w:top w:val="none" w:sz="0" w:space="0" w:color="auto"/>
        <w:left w:val="none" w:sz="0" w:space="0" w:color="auto"/>
        <w:bottom w:val="none" w:sz="0" w:space="0" w:color="auto"/>
        <w:right w:val="none" w:sz="0" w:space="0" w:color="auto"/>
      </w:divBdr>
    </w:div>
    <w:div w:id="27486192">
      <w:bodyDiv w:val="1"/>
      <w:marLeft w:val="0"/>
      <w:marRight w:val="0"/>
      <w:marTop w:val="0"/>
      <w:marBottom w:val="0"/>
      <w:divBdr>
        <w:top w:val="none" w:sz="0" w:space="0" w:color="auto"/>
        <w:left w:val="none" w:sz="0" w:space="0" w:color="auto"/>
        <w:bottom w:val="none" w:sz="0" w:space="0" w:color="auto"/>
        <w:right w:val="none" w:sz="0" w:space="0" w:color="auto"/>
      </w:divBdr>
    </w:div>
    <w:div w:id="27881766">
      <w:bodyDiv w:val="1"/>
      <w:marLeft w:val="0"/>
      <w:marRight w:val="0"/>
      <w:marTop w:val="0"/>
      <w:marBottom w:val="0"/>
      <w:divBdr>
        <w:top w:val="none" w:sz="0" w:space="0" w:color="auto"/>
        <w:left w:val="none" w:sz="0" w:space="0" w:color="auto"/>
        <w:bottom w:val="none" w:sz="0" w:space="0" w:color="auto"/>
        <w:right w:val="none" w:sz="0" w:space="0" w:color="auto"/>
      </w:divBdr>
    </w:div>
    <w:div w:id="29578518">
      <w:bodyDiv w:val="1"/>
      <w:marLeft w:val="0"/>
      <w:marRight w:val="0"/>
      <w:marTop w:val="0"/>
      <w:marBottom w:val="0"/>
      <w:divBdr>
        <w:top w:val="none" w:sz="0" w:space="0" w:color="auto"/>
        <w:left w:val="none" w:sz="0" w:space="0" w:color="auto"/>
        <w:bottom w:val="none" w:sz="0" w:space="0" w:color="auto"/>
        <w:right w:val="none" w:sz="0" w:space="0" w:color="auto"/>
      </w:divBdr>
    </w:div>
    <w:div w:id="41171005">
      <w:bodyDiv w:val="1"/>
      <w:marLeft w:val="0"/>
      <w:marRight w:val="0"/>
      <w:marTop w:val="0"/>
      <w:marBottom w:val="0"/>
      <w:divBdr>
        <w:top w:val="none" w:sz="0" w:space="0" w:color="auto"/>
        <w:left w:val="none" w:sz="0" w:space="0" w:color="auto"/>
        <w:bottom w:val="none" w:sz="0" w:space="0" w:color="auto"/>
        <w:right w:val="none" w:sz="0" w:space="0" w:color="auto"/>
      </w:divBdr>
    </w:div>
    <w:div w:id="42677532">
      <w:bodyDiv w:val="1"/>
      <w:marLeft w:val="0"/>
      <w:marRight w:val="0"/>
      <w:marTop w:val="0"/>
      <w:marBottom w:val="0"/>
      <w:divBdr>
        <w:top w:val="none" w:sz="0" w:space="0" w:color="auto"/>
        <w:left w:val="none" w:sz="0" w:space="0" w:color="auto"/>
        <w:bottom w:val="none" w:sz="0" w:space="0" w:color="auto"/>
        <w:right w:val="none" w:sz="0" w:space="0" w:color="auto"/>
      </w:divBdr>
    </w:div>
    <w:div w:id="50159392">
      <w:bodyDiv w:val="1"/>
      <w:marLeft w:val="0"/>
      <w:marRight w:val="0"/>
      <w:marTop w:val="0"/>
      <w:marBottom w:val="0"/>
      <w:divBdr>
        <w:top w:val="none" w:sz="0" w:space="0" w:color="auto"/>
        <w:left w:val="none" w:sz="0" w:space="0" w:color="auto"/>
        <w:bottom w:val="none" w:sz="0" w:space="0" w:color="auto"/>
        <w:right w:val="none" w:sz="0" w:space="0" w:color="auto"/>
      </w:divBdr>
    </w:div>
    <w:div w:id="56972857">
      <w:bodyDiv w:val="1"/>
      <w:marLeft w:val="0"/>
      <w:marRight w:val="0"/>
      <w:marTop w:val="0"/>
      <w:marBottom w:val="0"/>
      <w:divBdr>
        <w:top w:val="none" w:sz="0" w:space="0" w:color="auto"/>
        <w:left w:val="none" w:sz="0" w:space="0" w:color="auto"/>
        <w:bottom w:val="none" w:sz="0" w:space="0" w:color="auto"/>
        <w:right w:val="none" w:sz="0" w:space="0" w:color="auto"/>
      </w:divBdr>
    </w:div>
    <w:div w:id="58553343">
      <w:bodyDiv w:val="1"/>
      <w:marLeft w:val="0"/>
      <w:marRight w:val="0"/>
      <w:marTop w:val="0"/>
      <w:marBottom w:val="0"/>
      <w:divBdr>
        <w:top w:val="none" w:sz="0" w:space="0" w:color="auto"/>
        <w:left w:val="none" w:sz="0" w:space="0" w:color="auto"/>
        <w:bottom w:val="none" w:sz="0" w:space="0" w:color="auto"/>
        <w:right w:val="none" w:sz="0" w:space="0" w:color="auto"/>
      </w:divBdr>
    </w:div>
    <w:div w:id="59602535">
      <w:bodyDiv w:val="1"/>
      <w:marLeft w:val="0"/>
      <w:marRight w:val="0"/>
      <w:marTop w:val="0"/>
      <w:marBottom w:val="0"/>
      <w:divBdr>
        <w:top w:val="none" w:sz="0" w:space="0" w:color="auto"/>
        <w:left w:val="none" w:sz="0" w:space="0" w:color="auto"/>
        <w:bottom w:val="none" w:sz="0" w:space="0" w:color="auto"/>
        <w:right w:val="none" w:sz="0" w:space="0" w:color="auto"/>
      </w:divBdr>
    </w:div>
    <w:div w:id="65343967">
      <w:bodyDiv w:val="1"/>
      <w:marLeft w:val="0"/>
      <w:marRight w:val="0"/>
      <w:marTop w:val="0"/>
      <w:marBottom w:val="0"/>
      <w:divBdr>
        <w:top w:val="none" w:sz="0" w:space="0" w:color="auto"/>
        <w:left w:val="none" w:sz="0" w:space="0" w:color="auto"/>
        <w:bottom w:val="none" w:sz="0" w:space="0" w:color="auto"/>
        <w:right w:val="none" w:sz="0" w:space="0" w:color="auto"/>
      </w:divBdr>
    </w:div>
    <w:div w:id="72970466">
      <w:bodyDiv w:val="1"/>
      <w:marLeft w:val="0"/>
      <w:marRight w:val="0"/>
      <w:marTop w:val="0"/>
      <w:marBottom w:val="0"/>
      <w:divBdr>
        <w:top w:val="none" w:sz="0" w:space="0" w:color="auto"/>
        <w:left w:val="none" w:sz="0" w:space="0" w:color="auto"/>
        <w:bottom w:val="none" w:sz="0" w:space="0" w:color="auto"/>
        <w:right w:val="none" w:sz="0" w:space="0" w:color="auto"/>
      </w:divBdr>
    </w:div>
    <w:div w:id="81413664">
      <w:bodyDiv w:val="1"/>
      <w:marLeft w:val="0"/>
      <w:marRight w:val="0"/>
      <w:marTop w:val="0"/>
      <w:marBottom w:val="0"/>
      <w:divBdr>
        <w:top w:val="none" w:sz="0" w:space="0" w:color="auto"/>
        <w:left w:val="none" w:sz="0" w:space="0" w:color="auto"/>
        <w:bottom w:val="none" w:sz="0" w:space="0" w:color="auto"/>
        <w:right w:val="none" w:sz="0" w:space="0" w:color="auto"/>
      </w:divBdr>
    </w:div>
    <w:div w:id="83960018">
      <w:bodyDiv w:val="1"/>
      <w:marLeft w:val="0"/>
      <w:marRight w:val="0"/>
      <w:marTop w:val="0"/>
      <w:marBottom w:val="0"/>
      <w:divBdr>
        <w:top w:val="none" w:sz="0" w:space="0" w:color="auto"/>
        <w:left w:val="none" w:sz="0" w:space="0" w:color="auto"/>
        <w:bottom w:val="none" w:sz="0" w:space="0" w:color="auto"/>
        <w:right w:val="none" w:sz="0" w:space="0" w:color="auto"/>
      </w:divBdr>
    </w:div>
    <w:div w:id="84346838">
      <w:bodyDiv w:val="1"/>
      <w:marLeft w:val="0"/>
      <w:marRight w:val="0"/>
      <w:marTop w:val="0"/>
      <w:marBottom w:val="0"/>
      <w:divBdr>
        <w:top w:val="none" w:sz="0" w:space="0" w:color="auto"/>
        <w:left w:val="none" w:sz="0" w:space="0" w:color="auto"/>
        <w:bottom w:val="none" w:sz="0" w:space="0" w:color="auto"/>
        <w:right w:val="none" w:sz="0" w:space="0" w:color="auto"/>
      </w:divBdr>
    </w:div>
    <w:div w:id="92827454">
      <w:bodyDiv w:val="1"/>
      <w:marLeft w:val="0"/>
      <w:marRight w:val="0"/>
      <w:marTop w:val="0"/>
      <w:marBottom w:val="0"/>
      <w:divBdr>
        <w:top w:val="none" w:sz="0" w:space="0" w:color="auto"/>
        <w:left w:val="none" w:sz="0" w:space="0" w:color="auto"/>
        <w:bottom w:val="none" w:sz="0" w:space="0" w:color="auto"/>
        <w:right w:val="none" w:sz="0" w:space="0" w:color="auto"/>
      </w:divBdr>
    </w:div>
    <w:div w:id="94136211">
      <w:bodyDiv w:val="1"/>
      <w:marLeft w:val="0"/>
      <w:marRight w:val="0"/>
      <w:marTop w:val="0"/>
      <w:marBottom w:val="0"/>
      <w:divBdr>
        <w:top w:val="none" w:sz="0" w:space="0" w:color="auto"/>
        <w:left w:val="none" w:sz="0" w:space="0" w:color="auto"/>
        <w:bottom w:val="none" w:sz="0" w:space="0" w:color="auto"/>
        <w:right w:val="none" w:sz="0" w:space="0" w:color="auto"/>
      </w:divBdr>
    </w:div>
    <w:div w:id="94177919">
      <w:bodyDiv w:val="1"/>
      <w:marLeft w:val="0"/>
      <w:marRight w:val="0"/>
      <w:marTop w:val="0"/>
      <w:marBottom w:val="0"/>
      <w:divBdr>
        <w:top w:val="none" w:sz="0" w:space="0" w:color="auto"/>
        <w:left w:val="none" w:sz="0" w:space="0" w:color="auto"/>
        <w:bottom w:val="none" w:sz="0" w:space="0" w:color="auto"/>
        <w:right w:val="none" w:sz="0" w:space="0" w:color="auto"/>
      </w:divBdr>
    </w:div>
    <w:div w:id="95565161">
      <w:bodyDiv w:val="1"/>
      <w:marLeft w:val="0"/>
      <w:marRight w:val="0"/>
      <w:marTop w:val="0"/>
      <w:marBottom w:val="0"/>
      <w:divBdr>
        <w:top w:val="none" w:sz="0" w:space="0" w:color="auto"/>
        <w:left w:val="none" w:sz="0" w:space="0" w:color="auto"/>
        <w:bottom w:val="none" w:sz="0" w:space="0" w:color="auto"/>
        <w:right w:val="none" w:sz="0" w:space="0" w:color="auto"/>
      </w:divBdr>
    </w:div>
    <w:div w:id="98842843">
      <w:bodyDiv w:val="1"/>
      <w:marLeft w:val="0"/>
      <w:marRight w:val="0"/>
      <w:marTop w:val="0"/>
      <w:marBottom w:val="0"/>
      <w:divBdr>
        <w:top w:val="none" w:sz="0" w:space="0" w:color="auto"/>
        <w:left w:val="none" w:sz="0" w:space="0" w:color="auto"/>
        <w:bottom w:val="none" w:sz="0" w:space="0" w:color="auto"/>
        <w:right w:val="none" w:sz="0" w:space="0" w:color="auto"/>
      </w:divBdr>
    </w:div>
    <w:div w:id="101271645">
      <w:bodyDiv w:val="1"/>
      <w:marLeft w:val="0"/>
      <w:marRight w:val="0"/>
      <w:marTop w:val="0"/>
      <w:marBottom w:val="0"/>
      <w:divBdr>
        <w:top w:val="none" w:sz="0" w:space="0" w:color="auto"/>
        <w:left w:val="none" w:sz="0" w:space="0" w:color="auto"/>
        <w:bottom w:val="none" w:sz="0" w:space="0" w:color="auto"/>
        <w:right w:val="none" w:sz="0" w:space="0" w:color="auto"/>
      </w:divBdr>
    </w:div>
    <w:div w:id="114103777">
      <w:bodyDiv w:val="1"/>
      <w:marLeft w:val="0"/>
      <w:marRight w:val="0"/>
      <w:marTop w:val="0"/>
      <w:marBottom w:val="0"/>
      <w:divBdr>
        <w:top w:val="none" w:sz="0" w:space="0" w:color="auto"/>
        <w:left w:val="none" w:sz="0" w:space="0" w:color="auto"/>
        <w:bottom w:val="none" w:sz="0" w:space="0" w:color="auto"/>
        <w:right w:val="none" w:sz="0" w:space="0" w:color="auto"/>
      </w:divBdr>
    </w:div>
    <w:div w:id="116727679">
      <w:bodyDiv w:val="1"/>
      <w:marLeft w:val="0"/>
      <w:marRight w:val="0"/>
      <w:marTop w:val="0"/>
      <w:marBottom w:val="0"/>
      <w:divBdr>
        <w:top w:val="none" w:sz="0" w:space="0" w:color="auto"/>
        <w:left w:val="none" w:sz="0" w:space="0" w:color="auto"/>
        <w:bottom w:val="none" w:sz="0" w:space="0" w:color="auto"/>
        <w:right w:val="none" w:sz="0" w:space="0" w:color="auto"/>
      </w:divBdr>
    </w:div>
    <w:div w:id="128983972">
      <w:bodyDiv w:val="1"/>
      <w:marLeft w:val="0"/>
      <w:marRight w:val="0"/>
      <w:marTop w:val="0"/>
      <w:marBottom w:val="0"/>
      <w:divBdr>
        <w:top w:val="none" w:sz="0" w:space="0" w:color="auto"/>
        <w:left w:val="none" w:sz="0" w:space="0" w:color="auto"/>
        <w:bottom w:val="none" w:sz="0" w:space="0" w:color="auto"/>
        <w:right w:val="none" w:sz="0" w:space="0" w:color="auto"/>
      </w:divBdr>
    </w:div>
    <w:div w:id="129128520">
      <w:bodyDiv w:val="1"/>
      <w:marLeft w:val="0"/>
      <w:marRight w:val="0"/>
      <w:marTop w:val="0"/>
      <w:marBottom w:val="0"/>
      <w:divBdr>
        <w:top w:val="none" w:sz="0" w:space="0" w:color="auto"/>
        <w:left w:val="none" w:sz="0" w:space="0" w:color="auto"/>
        <w:bottom w:val="none" w:sz="0" w:space="0" w:color="auto"/>
        <w:right w:val="none" w:sz="0" w:space="0" w:color="auto"/>
      </w:divBdr>
    </w:div>
    <w:div w:id="129131551">
      <w:bodyDiv w:val="1"/>
      <w:marLeft w:val="0"/>
      <w:marRight w:val="0"/>
      <w:marTop w:val="0"/>
      <w:marBottom w:val="0"/>
      <w:divBdr>
        <w:top w:val="none" w:sz="0" w:space="0" w:color="auto"/>
        <w:left w:val="none" w:sz="0" w:space="0" w:color="auto"/>
        <w:bottom w:val="none" w:sz="0" w:space="0" w:color="auto"/>
        <w:right w:val="none" w:sz="0" w:space="0" w:color="auto"/>
      </w:divBdr>
    </w:div>
    <w:div w:id="129519983">
      <w:bodyDiv w:val="1"/>
      <w:marLeft w:val="0"/>
      <w:marRight w:val="0"/>
      <w:marTop w:val="0"/>
      <w:marBottom w:val="0"/>
      <w:divBdr>
        <w:top w:val="none" w:sz="0" w:space="0" w:color="auto"/>
        <w:left w:val="none" w:sz="0" w:space="0" w:color="auto"/>
        <w:bottom w:val="none" w:sz="0" w:space="0" w:color="auto"/>
        <w:right w:val="none" w:sz="0" w:space="0" w:color="auto"/>
      </w:divBdr>
    </w:div>
    <w:div w:id="132066699">
      <w:bodyDiv w:val="1"/>
      <w:marLeft w:val="0"/>
      <w:marRight w:val="0"/>
      <w:marTop w:val="0"/>
      <w:marBottom w:val="0"/>
      <w:divBdr>
        <w:top w:val="none" w:sz="0" w:space="0" w:color="auto"/>
        <w:left w:val="none" w:sz="0" w:space="0" w:color="auto"/>
        <w:bottom w:val="none" w:sz="0" w:space="0" w:color="auto"/>
        <w:right w:val="none" w:sz="0" w:space="0" w:color="auto"/>
      </w:divBdr>
    </w:div>
    <w:div w:id="133182484">
      <w:bodyDiv w:val="1"/>
      <w:marLeft w:val="0"/>
      <w:marRight w:val="0"/>
      <w:marTop w:val="0"/>
      <w:marBottom w:val="0"/>
      <w:divBdr>
        <w:top w:val="none" w:sz="0" w:space="0" w:color="auto"/>
        <w:left w:val="none" w:sz="0" w:space="0" w:color="auto"/>
        <w:bottom w:val="none" w:sz="0" w:space="0" w:color="auto"/>
        <w:right w:val="none" w:sz="0" w:space="0" w:color="auto"/>
      </w:divBdr>
    </w:div>
    <w:div w:id="134377867">
      <w:bodyDiv w:val="1"/>
      <w:marLeft w:val="0"/>
      <w:marRight w:val="0"/>
      <w:marTop w:val="0"/>
      <w:marBottom w:val="0"/>
      <w:divBdr>
        <w:top w:val="none" w:sz="0" w:space="0" w:color="auto"/>
        <w:left w:val="none" w:sz="0" w:space="0" w:color="auto"/>
        <w:bottom w:val="none" w:sz="0" w:space="0" w:color="auto"/>
        <w:right w:val="none" w:sz="0" w:space="0" w:color="auto"/>
      </w:divBdr>
    </w:div>
    <w:div w:id="136076170">
      <w:bodyDiv w:val="1"/>
      <w:marLeft w:val="0"/>
      <w:marRight w:val="0"/>
      <w:marTop w:val="0"/>
      <w:marBottom w:val="0"/>
      <w:divBdr>
        <w:top w:val="none" w:sz="0" w:space="0" w:color="auto"/>
        <w:left w:val="none" w:sz="0" w:space="0" w:color="auto"/>
        <w:bottom w:val="none" w:sz="0" w:space="0" w:color="auto"/>
        <w:right w:val="none" w:sz="0" w:space="0" w:color="auto"/>
      </w:divBdr>
    </w:div>
    <w:div w:id="141237245">
      <w:bodyDiv w:val="1"/>
      <w:marLeft w:val="0"/>
      <w:marRight w:val="0"/>
      <w:marTop w:val="0"/>
      <w:marBottom w:val="0"/>
      <w:divBdr>
        <w:top w:val="none" w:sz="0" w:space="0" w:color="auto"/>
        <w:left w:val="none" w:sz="0" w:space="0" w:color="auto"/>
        <w:bottom w:val="none" w:sz="0" w:space="0" w:color="auto"/>
        <w:right w:val="none" w:sz="0" w:space="0" w:color="auto"/>
      </w:divBdr>
    </w:div>
    <w:div w:id="151988232">
      <w:bodyDiv w:val="1"/>
      <w:marLeft w:val="0"/>
      <w:marRight w:val="0"/>
      <w:marTop w:val="0"/>
      <w:marBottom w:val="0"/>
      <w:divBdr>
        <w:top w:val="none" w:sz="0" w:space="0" w:color="auto"/>
        <w:left w:val="none" w:sz="0" w:space="0" w:color="auto"/>
        <w:bottom w:val="none" w:sz="0" w:space="0" w:color="auto"/>
        <w:right w:val="none" w:sz="0" w:space="0" w:color="auto"/>
      </w:divBdr>
    </w:div>
    <w:div w:id="160119341">
      <w:bodyDiv w:val="1"/>
      <w:marLeft w:val="0"/>
      <w:marRight w:val="0"/>
      <w:marTop w:val="0"/>
      <w:marBottom w:val="0"/>
      <w:divBdr>
        <w:top w:val="none" w:sz="0" w:space="0" w:color="auto"/>
        <w:left w:val="none" w:sz="0" w:space="0" w:color="auto"/>
        <w:bottom w:val="none" w:sz="0" w:space="0" w:color="auto"/>
        <w:right w:val="none" w:sz="0" w:space="0" w:color="auto"/>
      </w:divBdr>
    </w:div>
    <w:div w:id="161045972">
      <w:bodyDiv w:val="1"/>
      <w:marLeft w:val="0"/>
      <w:marRight w:val="0"/>
      <w:marTop w:val="0"/>
      <w:marBottom w:val="0"/>
      <w:divBdr>
        <w:top w:val="none" w:sz="0" w:space="0" w:color="auto"/>
        <w:left w:val="none" w:sz="0" w:space="0" w:color="auto"/>
        <w:bottom w:val="none" w:sz="0" w:space="0" w:color="auto"/>
        <w:right w:val="none" w:sz="0" w:space="0" w:color="auto"/>
      </w:divBdr>
    </w:div>
    <w:div w:id="165748717">
      <w:bodyDiv w:val="1"/>
      <w:marLeft w:val="0"/>
      <w:marRight w:val="0"/>
      <w:marTop w:val="0"/>
      <w:marBottom w:val="0"/>
      <w:divBdr>
        <w:top w:val="none" w:sz="0" w:space="0" w:color="auto"/>
        <w:left w:val="none" w:sz="0" w:space="0" w:color="auto"/>
        <w:bottom w:val="none" w:sz="0" w:space="0" w:color="auto"/>
        <w:right w:val="none" w:sz="0" w:space="0" w:color="auto"/>
      </w:divBdr>
    </w:div>
    <w:div w:id="180900304">
      <w:bodyDiv w:val="1"/>
      <w:marLeft w:val="0"/>
      <w:marRight w:val="0"/>
      <w:marTop w:val="0"/>
      <w:marBottom w:val="0"/>
      <w:divBdr>
        <w:top w:val="none" w:sz="0" w:space="0" w:color="auto"/>
        <w:left w:val="none" w:sz="0" w:space="0" w:color="auto"/>
        <w:bottom w:val="none" w:sz="0" w:space="0" w:color="auto"/>
        <w:right w:val="none" w:sz="0" w:space="0" w:color="auto"/>
      </w:divBdr>
    </w:div>
    <w:div w:id="184757632">
      <w:bodyDiv w:val="1"/>
      <w:marLeft w:val="0"/>
      <w:marRight w:val="0"/>
      <w:marTop w:val="0"/>
      <w:marBottom w:val="0"/>
      <w:divBdr>
        <w:top w:val="none" w:sz="0" w:space="0" w:color="auto"/>
        <w:left w:val="none" w:sz="0" w:space="0" w:color="auto"/>
        <w:bottom w:val="none" w:sz="0" w:space="0" w:color="auto"/>
        <w:right w:val="none" w:sz="0" w:space="0" w:color="auto"/>
      </w:divBdr>
    </w:div>
    <w:div w:id="186916806">
      <w:bodyDiv w:val="1"/>
      <w:marLeft w:val="0"/>
      <w:marRight w:val="0"/>
      <w:marTop w:val="0"/>
      <w:marBottom w:val="0"/>
      <w:divBdr>
        <w:top w:val="none" w:sz="0" w:space="0" w:color="auto"/>
        <w:left w:val="none" w:sz="0" w:space="0" w:color="auto"/>
        <w:bottom w:val="none" w:sz="0" w:space="0" w:color="auto"/>
        <w:right w:val="none" w:sz="0" w:space="0" w:color="auto"/>
      </w:divBdr>
    </w:div>
    <w:div w:id="187136557">
      <w:bodyDiv w:val="1"/>
      <w:marLeft w:val="0"/>
      <w:marRight w:val="0"/>
      <w:marTop w:val="0"/>
      <w:marBottom w:val="0"/>
      <w:divBdr>
        <w:top w:val="none" w:sz="0" w:space="0" w:color="auto"/>
        <w:left w:val="none" w:sz="0" w:space="0" w:color="auto"/>
        <w:bottom w:val="none" w:sz="0" w:space="0" w:color="auto"/>
        <w:right w:val="none" w:sz="0" w:space="0" w:color="auto"/>
      </w:divBdr>
    </w:div>
    <w:div w:id="187721326">
      <w:bodyDiv w:val="1"/>
      <w:marLeft w:val="0"/>
      <w:marRight w:val="0"/>
      <w:marTop w:val="0"/>
      <w:marBottom w:val="0"/>
      <w:divBdr>
        <w:top w:val="none" w:sz="0" w:space="0" w:color="auto"/>
        <w:left w:val="none" w:sz="0" w:space="0" w:color="auto"/>
        <w:bottom w:val="none" w:sz="0" w:space="0" w:color="auto"/>
        <w:right w:val="none" w:sz="0" w:space="0" w:color="auto"/>
      </w:divBdr>
    </w:div>
    <w:div w:id="199130072">
      <w:bodyDiv w:val="1"/>
      <w:marLeft w:val="0"/>
      <w:marRight w:val="0"/>
      <w:marTop w:val="0"/>
      <w:marBottom w:val="0"/>
      <w:divBdr>
        <w:top w:val="none" w:sz="0" w:space="0" w:color="auto"/>
        <w:left w:val="none" w:sz="0" w:space="0" w:color="auto"/>
        <w:bottom w:val="none" w:sz="0" w:space="0" w:color="auto"/>
        <w:right w:val="none" w:sz="0" w:space="0" w:color="auto"/>
      </w:divBdr>
    </w:div>
    <w:div w:id="200627963">
      <w:bodyDiv w:val="1"/>
      <w:marLeft w:val="0"/>
      <w:marRight w:val="0"/>
      <w:marTop w:val="0"/>
      <w:marBottom w:val="0"/>
      <w:divBdr>
        <w:top w:val="none" w:sz="0" w:space="0" w:color="auto"/>
        <w:left w:val="none" w:sz="0" w:space="0" w:color="auto"/>
        <w:bottom w:val="none" w:sz="0" w:space="0" w:color="auto"/>
        <w:right w:val="none" w:sz="0" w:space="0" w:color="auto"/>
      </w:divBdr>
    </w:div>
    <w:div w:id="202908839">
      <w:bodyDiv w:val="1"/>
      <w:marLeft w:val="0"/>
      <w:marRight w:val="0"/>
      <w:marTop w:val="0"/>
      <w:marBottom w:val="0"/>
      <w:divBdr>
        <w:top w:val="none" w:sz="0" w:space="0" w:color="auto"/>
        <w:left w:val="none" w:sz="0" w:space="0" w:color="auto"/>
        <w:bottom w:val="none" w:sz="0" w:space="0" w:color="auto"/>
        <w:right w:val="none" w:sz="0" w:space="0" w:color="auto"/>
      </w:divBdr>
    </w:div>
    <w:div w:id="205223209">
      <w:bodyDiv w:val="1"/>
      <w:marLeft w:val="0"/>
      <w:marRight w:val="0"/>
      <w:marTop w:val="0"/>
      <w:marBottom w:val="0"/>
      <w:divBdr>
        <w:top w:val="none" w:sz="0" w:space="0" w:color="auto"/>
        <w:left w:val="none" w:sz="0" w:space="0" w:color="auto"/>
        <w:bottom w:val="none" w:sz="0" w:space="0" w:color="auto"/>
        <w:right w:val="none" w:sz="0" w:space="0" w:color="auto"/>
      </w:divBdr>
    </w:div>
    <w:div w:id="208029167">
      <w:bodyDiv w:val="1"/>
      <w:marLeft w:val="0"/>
      <w:marRight w:val="0"/>
      <w:marTop w:val="0"/>
      <w:marBottom w:val="0"/>
      <w:divBdr>
        <w:top w:val="none" w:sz="0" w:space="0" w:color="auto"/>
        <w:left w:val="none" w:sz="0" w:space="0" w:color="auto"/>
        <w:bottom w:val="none" w:sz="0" w:space="0" w:color="auto"/>
        <w:right w:val="none" w:sz="0" w:space="0" w:color="auto"/>
      </w:divBdr>
    </w:div>
    <w:div w:id="211771744">
      <w:bodyDiv w:val="1"/>
      <w:marLeft w:val="0"/>
      <w:marRight w:val="0"/>
      <w:marTop w:val="0"/>
      <w:marBottom w:val="0"/>
      <w:divBdr>
        <w:top w:val="none" w:sz="0" w:space="0" w:color="auto"/>
        <w:left w:val="none" w:sz="0" w:space="0" w:color="auto"/>
        <w:bottom w:val="none" w:sz="0" w:space="0" w:color="auto"/>
        <w:right w:val="none" w:sz="0" w:space="0" w:color="auto"/>
      </w:divBdr>
    </w:div>
    <w:div w:id="213004722">
      <w:bodyDiv w:val="1"/>
      <w:marLeft w:val="0"/>
      <w:marRight w:val="0"/>
      <w:marTop w:val="0"/>
      <w:marBottom w:val="0"/>
      <w:divBdr>
        <w:top w:val="none" w:sz="0" w:space="0" w:color="auto"/>
        <w:left w:val="none" w:sz="0" w:space="0" w:color="auto"/>
        <w:bottom w:val="none" w:sz="0" w:space="0" w:color="auto"/>
        <w:right w:val="none" w:sz="0" w:space="0" w:color="auto"/>
      </w:divBdr>
    </w:div>
    <w:div w:id="213927455">
      <w:bodyDiv w:val="1"/>
      <w:marLeft w:val="0"/>
      <w:marRight w:val="0"/>
      <w:marTop w:val="0"/>
      <w:marBottom w:val="0"/>
      <w:divBdr>
        <w:top w:val="none" w:sz="0" w:space="0" w:color="auto"/>
        <w:left w:val="none" w:sz="0" w:space="0" w:color="auto"/>
        <w:bottom w:val="none" w:sz="0" w:space="0" w:color="auto"/>
        <w:right w:val="none" w:sz="0" w:space="0" w:color="auto"/>
      </w:divBdr>
    </w:div>
    <w:div w:id="227423612">
      <w:bodyDiv w:val="1"/>
      <w:marLeft w:val="0"/>
      <w:marRight w:val="0"/>
      <w:marTop w:val="0"/>
      <w:marBottom w:val="0"/>
      <w:divBdr>
        <w:top w:val="none" w:sz="0" w:space="0" w:color="auto"/>
        <w:left w:val="none" w:sz="0" w:space="0" w:color="auto"/>
        <w:bottom w:val="none" w:sz="0" w:space="0" w:color="auto"/>
        <w:right w:val="none" w:sz="0" w:space="0" w:color="auto"/>
      </w:divBdr>
    </w:div>
    <w:div w:id="231158966">
      <w:bodyDiv w:val="1"/>
      <w:marLeft w:val="0"/>
      <w:marRight w:val="0"/>
      <w:marTop w:val="0"/>
      <w:marBottom w:val="0"/>
      <w:divBdr>
        <w:top w:val="none" w:sz="0" w:space="0" w:color="auto"/>
        <w:left w:val="none" w:sz="0" w:space="0" w:color="auto"/>
        <w:bottom w:val="none" w:sz="0" w:space="0" w:color="auto"/>
        <w:right w:val="none" w:sz="0" w:space="0" w:color="auto"/>
      </w:divBdr>
    </w:div>
    <w:div w:id="233710978">
      <w:bodyDiv w:val="1"/>
      <w:marLeft w:val="0"/>
      <w:marRight w:val="0"/>
      <w:marTop w:val="0"/>
      <w:marBottom w:val="0"/>
      <w:divBdr>
        <w:top w:val="none" w:sz="0" w:space="0" w:color="auto"/>
        <w:left w:val="none" w:sz="0" w:space="0" w:color="auto"/>
        <w:bottom w:val="none" w:sz="0" w:space="0" w:color="auto"/>
        <w:right w:val="none" w:sz="0" w:space="0" w:color="auto"/>
      </w:divBdr>
    </w:div>
    <w:div w:id="237834559">
      <w:bodyDiv w:val="1"/>
      <w:marLeft w:val="0"/>
      <w:marRight w:val="0"/>
      <w:marTop w:val="0"/>
      <w:marBottom w:val="0"/>
      <w:divBdr>
        <w:top w:val="none" w:sz="0" w:space="0" w:color="auto"/>
        <w:left w:val="none" w:sz="0" w:space="0" w:color="auto"/>
        <w:bottom w:val="none" w:sz="0" w:space="0" w:color="auto"/>
        <w:right w:val="none" w:sz="0" w:space="0" w:color="auto"/>
      </w:divBdr>
    </w:div>
    <w:div w:id="240070867">
      <w:bodyDiv w:val="1"/>
      <w:marLeft w:val="0"/>
      <w:marRight w:val="0"/>
      <w:marTop w:val="0"/>
      <w:marBottom w:val="0"/>
      <w:divBdr>
        <w:top w:val="none" w:sz="0" w:space="0" w:color="auto"/>
        <w:left w:val="none" w:sz="0" w:space="0" w:color="auto"/>
        <w:bottom w:val="none" w:sz="0" w:space="0" w:color="auto"/>
        <w:right w:val="none" w:sz="0" w:space="0" w:color="auto"/>
      </w:divBdr>
    </w:div>
    <w:div w:id="242226689">
      <w:bodyDiv w:val="1"/>
      <w:marLeft w:val="0"/>
      <w:marRight w:val="0"/>
      <w:marTop w:val="0"/>
      <w:marBottom w:val="0"/>
      <w:divBdr>
        <w:top w:val="none" w:sz="0" w:space="0" w:color="auto"/>
        <w:left w:val="none" w:sz="0" w:space="0" w:color="auto"/>
        <w:bottom w:val="none" w:sz="0" w:space="0" w:color="auto"/>
        <w:right w:val="none" w:sz="0" w:space="0" w:color="auto"/>
      </w:divBdr>
    </w:div>
    <w:div w:id="246038828">
      <w:bodyDiv w:val="1"/>
      <w:marLeft w:val="0"/>
      <w:marRight w:val="0"/>
      <w:marTop w:val="0"/>
      <w:marBottom w:val="0"/>
      <w:divBdr>
        <w:top w:val="none" w:sz="0" w:space="0" w:color="auto"/>
        <w:left w:val="none" w:sz="0" w:space="0" w:color="auto"/>
        <w:bottom w:val="none" w:sz="0" w:space="0" w:color="auto"/>
        <w:right w:val="none" w:sz="0" w:space="0" w:color="auto"/>
      </w:divBdr>
    </w:div>
    <w:div w:id="248387744">
      <w:bodyDiv w:val="1"/>
      <w:marLeft w:val="0"/>
      <w:marRight w:val="0"/>
      <w:marTop w:val="0"/>
      <w:marBottom w:val="0"/>
      <w:divBdr>
        <w:top w:val="none" w:sz="0" w:space="0" w:color="auto"/>
        <w:left w:val="none" w:sz="0" w:space="0" w:color="auto"/>
        <w:bottom w:val="none" w:sz="0" w:space="0" w:color="auto"/>
        <w:right w:val="none" w:sz="0" w:space="0" w:color="auto"/>
      </w:divBdr>
    </w:div>
    <w:div w:id="251015248">
      <w:bodyDiv w:val="1"/>
      <w:marLeft w:val="0"/>
      <w:marRight w:val="0"/>
      <w:marTop w:val="0"/>
      <w:marBottom w:val="0"/>
      <w:divBdr>
        <w:top w:val="none" w:sz="0" w:space="0" w:color="auto"/>
        <w:left w:val="none" w:sz="0" w:space="0" w:color="auto"/>
        <w:bottom w:val="none" w:sz="0" w:space="0" w:color="auto"/>
        <w:right w:val="none" w:sz="0" w:space="0" w:color="auto"/>
      </w:divBdr>
    </w:div>
    <w:div w:id="256906228">
      <w:bodyDiv w:val="1"/>
      <w:marLeft w:val="0"/>
      <w:marRight w:val="0"/>
      <w:marTop w:val="0"/>
      <w:marBottom w:val="0"/>
      <w:divBdr>
        <w:top w:val="none" w:sz="0" w:space="0" w:color="auto"/>
        <w:left w:val="none" w:sz="0" w:space="0" w:color="auto"/>
        <w:bottom w:val="none" w:sz="0" w:space="0" w:color="auto"/>
        <w:right w:val="none" w:sz="0" w:space="0" w:color="auto"/>
      </w:divBdr>
    </w:div>
    <w:div w:id="269974840">
      <w:bodyDiv w:val="1"/>
      <w:marLeft w:val="0"/>
      <w:marRight w:val="0"/>
      <w:marTop w:val="0"/>
      <w:marBottom w:val="0"/>
      <w:divBdr>
        <w:top w:val="none" w:sz="0" w:space="0" w:color="auto"/>
        <w:left w:val="none" w:sz="0" w:space="0" w:color="auto"/>
        <w:bottom w:val="none" w:sz="0" w:space="0" w:color="auto"/>
        <w:right w:val="none" w:sz="0" w:space="0" w:color="auto"/>
      </w:divBdr>
    </w:div>
    <w:div w:id="270475723">
      <w:bodyDiv w:val="1"/>
      <w:marLeft w:val="0"/>
      <w:marRight w:val="0"/>
      <w:marTop w:val="0"/>
      <w:marBottom w:val="0"/>
      <w:divBdr>
        <w:top w:val="none" w:sz="0" w:space="0" w:color="auto"/>
        <w:left w:val="none" w:sz="0" w:space="0" w:color="auto"/>
        <w:bottom w:val="none" w:sz="0" w:space="0" w:color="auto"/>
        <w:right w:val="none" w:sz="0" w:space="0" w:color="auto"/>
      </w:divBdr>
    </w:div>
    <w:div w:id="273756695">
      <w:bodyDiv w:val="1"/>
      <w:marLeft w:val="0"/>
      <w:marRight w:val="0"/>
      <w:marTop w:val="0"/>
      <w:marBottom w:val="0"/>
      <w:divBdr>
        <w:top w:val="none" w:sz="0" w:space="0" w:color="auto"/>
        <w:left w:val="none" w:sz="0" w:space="0" w:color="auto"/>
        <w:bottom w:val="none" w:sz="0" w:space="0" w:color="auto"/>
        <w:right w:val="none" w:sz="0" w:space="0" w:color="auto"/>
      </w:divBdr>
    </w:div>
    <w:div w:id="295382160">
      <w:bodyDiv w:val="1"/>
      <w:marLeft w:val="0"/>
      <w:marRight w:val="0"/>
      <w:marTop w:val="0"/>
      <w:marBottom w:val="0"/>
      <w:divBdr>
        <w:top w:val="none" w:sz="0" w:space="0" w:color="auto"/>
        <w:left w:val="none" w:sz="0" w:space="0" w:color="auto"/>
        <w:bottom w:val="none" w:sz="0" w:space="0" w:color="auto"/>
        <w:right w:val="none" w:sz="0" w:space="0" w:color="auto"/>
      </w:divBdr>
    </w:div>
    <w:div w:id="296112125">
      <w:bodyDiv w:val="1"/>
      <w:marLeft w:val="0"/>
      <w:marRight w:val="0"/>
      <w:marTop w:val="0"/>
      <w:marBottom w:val="0"/>
      <w:divBdr>
        <w:top w:val="none" w:sz="0" w:space="0" w:color="auto"/>
        <w:left w:val="none" w:sz="0" w:space="0" w:color="auto"/>
        <w:bottom w:val="none" w:sz="0" w:space="0" w:color="auto"/>
        <w:right w:val="none" w:sz="0" w:space="0" w:color="auto"/>
      </w:divBdr>
    </w:div>
    <w:div w:id="297146682">
      <w:bodyDiv w:val="1"/>
      <w:marLeft w:val="0"/>
      <w:marRight w:val="0"/>
      <w:marTop w:val="0"/>
      <w:marBottom w:val="0"/>
      <w:divBdr>
        <w:top w:val="none" w:sz="0" w:space="0" w:color="auto"/>
        <w:left w:val="none" w:sz="0" w:space="0" w:color="auto"/>
        <w:bottom w:val="none" w:sz="0" w:space="0" w:color="auto"/>
        <w:right w:val="none" w:sz="0" w:space="0" w:color="auto"/>
      </w:divBdr>
    </w:div>
    <w:div w:id="322902615">
      <w:bodyDiv w:val="1"/>
      <w:marLeft w:val="0"/>
      <w:marRight w:val="0"/>
      <w:marTop w:val="0"/>
      <w:marBottom w:val="0"/>
      <w:divBdr>
        <w:top w:val="none" w:sz="0" w:space="0" w:color="auto"/>
        <w:left w:val="none" w:sz="0" w:space="0" w:color="auto"/>
        <w:bottom w:val="none" w:sz="0" w:space="0" w:color="auto"/>
        <w:right w:val="none" w:sz="0" w:space="0" w:color="auto"/>
      </w:divBdr>
    </w:div>
    <w:div w:id="323705731">
      <w:bodyDiv w:val="1"/>
      <w:marLeft w:val="0"/>
      <w:marRight w:val="0"/>
      <w:marTop w:val="0"/>
      <w:marBottom w:val="0"/>
      <w:divBdr>
        <w:top w:val="none" w:sz="0" w:space="0" w:color="auto"/>
        <w:left w:val="none" w:sz="0" w:space="0" w:color="auto"/>
        <w:bottom w:val="none" w:sz="0" w:space="0" w:color="auto"/>
        <w:right w:val="none" w:sz="0" w:space="0" w:color="auto"/>
      </w:divBdr>
    </w:div>
    <w:div w:id="327372714">
      <w:bodyDiv w:val="1"/>
      <w:marLeft w:val="0"/>
      <w:marRight w:val="0"/>
      <w:marTop w:val="0"/>
      <w:marBottom w:val="0"/>
      <w:divBdr>
        <w:top w:val="none" w:sz="0" w:space="0" w:color="auto"/>
        <w:left w:val="none" w:sz="0" w:space="0" w:color="auto"/>
        <w:bottom w:val="none" w:sz="0" w:space="0" w:color="auto"/>
        <w:right w:val="none" w:sz="0" w:space="0" w:color="auto"/>
      </w:divBdr>
    </w:div>
    <w:div w:id="331882914">
      <w:bodyDiv w:val="1"/>
      <w:marLeft w:val="0"/>
      <w:marRight w:val="0"/>
      <w:marTop w:val="0"/>
      <w:marBottom w:val="0"/>
      <w:divBdr>
        <w:top w:val="none" w:sz="0" w:space="0" w:color="auto"/>
        <w:left w:val="none" w:sz="0" w:space="0" w:color="auto"/>
        <w:bottom w:val="none" w:sz="0" w:space="0" w:color="auto"/>
        <w:right w:val="none" w:sz="0" w:space="0" w:color="auto"/>
      </w:divBdr>
    </w:div>
    <w:div w:id="337392117">
      <w:bodyDiv w:val="1"/>
      <w:marLeft w:val="0"/>
      <w:marRight w:val="0"/>
      <w:marTop w:val="0"/>
      <w:marBottom w:val="0"/>
      <w:divBdr>
        <w:top w:val="none" w:sz="0" w:space="0" w:color="auto"/>
        <w:left w:val="none" w:sz="0" w:space="0" w:color="auto"/>
        <w:bottom w:val="none" w:sz="0" w:space="0" w:color="auto"/>
        <w:right w:val="none" w:sz="0" w:space="0" w:color="auto"/>
      </w:divBdr>
    </w:div>
    <w:div w:id="341201266">
      <w:bodyDiv w:val="1"/>
      <w:marLeft w:val="0"/>
      <w:marRight w:val="0"/>
      <w:marTop w:val="0"/>
      <w:marBottom w:val="0"/>
      <w:divBdr>
        <w:top w:val="none" w:sz="0" w:space="0" w:color="auto"/>
        <w:left w:val="none" w:sz="0" w:space="0" w:color="auto"/>
        <w:bottom w:val="none" w:sz="0" w:space="0" w:color="auto"/>
        <w:right w:val="none" w:sz="0" w:space="0" w:color="auto"/>
      </w:divBdr>
    </w:div>
    <w:div w:id="341906273">
      <w:bodyDiv w:val="1"/>
      <w:marLeft w:val="0"/>
      <w:marRight w:val="0"/>
      <w:marTop w:val="0"/>
      <w:marBottom w:val="0"/>
      <w:divBdr>
        <w:top w:val="none" w:sz="0" w:space="0" w:color="auto"/>
        <w:left w:val="none" w:sz="0" w:space="0" w:color="auto"/>
        <w:bottom w:val="none" w:sz="0" w:space="0" w:color="auto"/>
        <w:right w:val="none" w:sz="0" w:space="0" w:color="auto"/>
      </w:divBdr>
    </w:div>
    <w:div w:id="345716534">
      <w:bodyDiv w:val="1"/>
      <w:marLeft w:val="0"/>
      <w:marRight w:val="0"/>
      <w:marTop w:val="0"/>
      <w:marBottom w:val="0"/>
      <w:divBdr>
        <w:top w:val="none" w:sz="0" w:space="0" w:color="auto"/>
        <w:left w:val="none" w:sz="0" w:space="0" w:color="auto"/>
        <w:bottom w:val="none" w:sz="0" w:space="0" w:color="auto"/>
        <w:right w:val="none" w:sz="0" w:space="0" w:color="auto"/>
      </w:divBdr>
    </w:div>
    <w:div w:id="345908089">
      <w:bodyDiv w:val="1"/>
      <w:marLeft w:val="0"/>
      <w:marRight w:val="0"/>
      <w:marTop w:val="0"/>
      <w:marBottom w:val="0"/>
      <w:divBdr>
        <w:top w:val="none" w:sz="0" w:space="0" w:color="auto"/>
        <w:left w:val="none" w:sz="0" w:space="0" w:color="auto"/>
        <w:bottom w:val="none" w:sz="0" w:space="0" w:color="auto"/>
        <w:right w:val="none" w:sz="0" w:space="0" w:color="auto"/>
      </w:divBdr>
    </w:div>
    <w:div w:id="346444291">
      <w:bodyDiv w:val="1"/>
      <w:marLeft w:val="0"/>
      <w:marRight w:val="0"/>
      <w:marTop w:val="0"/>
      <w:marBottom w:val="0"/>
      <w:divBdr>
        <w:top w:val="none" w:sz="0" w:space="0" w:color="auto"/>
        <w:left w:val="none" w:sz="0" w:space="0" w:color="auto"/>
        <w:bottom w:val="none" w:sz="0" w:space="0" w:color="auto"/>
        <w:right w:val="none" w:sz="0" w:space="0" w:color="auto"/>
      </w:divBdr>
    </w:div>
    <w:div w:id="346949508">
      <w:bodyDiv w:val="1"/>
      <w:marLeft w:val="0"/>
      <w:marRight w:val="0"/>
      <w:marTop w:val="0"/>
      <w:marBottom w:val="0"/>
      <w:divBdr>
        <w:top w:val="none" w:sz="0" w:space="0" w:color="auto"/>
        <w:left w:val="none" w:sz="0" w:space="0" w:color="auto"/>
        <w:bottom w:val="none" w:sz="0" w:space="0" w:color="auto"/>
        <w:right w:val="none" w:sz="0" w:space="0" w:color="auto"/>
      </w:divBdr>
    </w:div>
    <w:div w:id="355738887">
      <w:bodyDiv w:val="1"/>
      <w:marLeft w:val="0"/>
      <w:marRight w:val="0"/>
      <w:marTop w:val="0"/>
      <w:marBottom w:val="0"/>
      <w:divBdr>
        <w:top w:val="none" w:sz="0" w:space="0" w:color="auto"/>
        <w:left w:val="none" w:sz="0" w:space="0" w:color="auto"/>
        <w:bottom w:val="none" w:sz="0" w:space="0" w:color="auto"/>
        <w:right w:val="none" w:sz="0" w:space="0" w:color="auto"/>
      </w:divBdr>
    </w:div>
    <w:div w:id="357121405">
      <w:bodyDiv w:val="1"/>
      <w:marLeft w:val="0"/>
      <w:marRight w:val="0"/>
      <w:marTop w:val="0"/>
      <w:marBottom w:val="0"/>
      <w:divBdr>
        <w:top w:val="none" w:sz="0" w:space="0" w:color="auto"/>
        <w:left w:val="none" w:sz="0" w:space="0" w:color="auto"/>
        <w:bottom w:val="none" w:sz="0" w:space="0" w:color="auto"/>
        <w:right w:val="none" w:sz="0" w:space="0" w:color="auto"/>
      </w:divBdr>
    </w:div>
    <w:div w:id="359164404">
      <w:bodyDiv w:val="1"/>
      <w:marLeft w:val="0"/>
      <w:marRight w:val="0"/>
      <w:marTop w:val="0"/>
      <w:marBottom w:val="0"/>
      <w:divBdr>
        <w:top w:val="none" w:sz="0" w:space="0" w:color="auto"/>
        <w:left w:val="none" w:sz="0" w:space="0" w:color="auto"/>
        <w:bottom w:val="none" w:sz="0" w:space="0" w:color="auto"/>
        <w:right w:val="none" w:sz="0" w:space="0" w:color="auto"/>
      </w:divBdr>
    </w:div>
    <w:div w:id="360935968">
      <w:bodyDiv w:val="1"/>
      <w:marLeft w:val="0"/>
      <w:marRight w:val="0"/>
      <w:marTop w:val="0"/>
      <w:marBottom w:val="0"/>
      <w:divBdr>
        <w:top w:val="none" w:sz="0" w:space="0" w:color="auto"/>
        <w:left w:val="none" w:sz="0" w:space="0" w:color="auto"/>
        <w:bottom w:val="none" w:sz="0" w:space="0" w:color="auto"/>
        <w:right w:val="none" w:sz="0" w:space="0" w:color="auto"/>
      </w:divBdr>
    </w:div>
    <w:div w:id="364601507">
      <w:bodyDiv w:val="1"/>
      <w:marLeft w:val="0"/>
      <w:marRight w:val="0"/>
      <w:marTop w:val="0"/>
      <w:marBottom w:val="0"/>
      <w:divBdr>
        <w:top w:val="none" w:sz="0" w:space="0" w:color="auto"/>
        <w:left w:val="none" w:sz="0" w:space="0" w:color="auto"/>
        <w:bottom w:val="none" w:sz="0" w:space="0" w:color="auto"/>
        <w:right w:val="none" w:sz="0" w:space="0" w:color="auto"/>
      </w:divBdr>
    </w:div>
    <w:div w:id="364864201">
      <w:bodyDiv w:val="1"/>
      <w:marLeft w:val="0"/>
      <w:marRight w:val="0"/>
      <w:marTop w:val="0"/>
      <w:marBottom w:val="0"/>
      <w:divBdr>
        <w:top w:val="none" w:sz="0" w:space="0" w:color="auto"/>
        <w:left w:val="none" w:sz="0" w:space="0" w:color="auto"/>
        <w:bottom w:val="none" w:sz="0" w:space="0" w:color="auto"/>
        <w:right w:val="none" w:sz="0" w:space="0" w:color="auto"/>
      </w:divBdr>
    </w:div>
    <w:div w:id="367608046">
      <w:bodyDiv w:val="1"/>
      <w:marLeft w:val="0"/>
      <w:marRight w:val="0"/>
      <w:marTop w:val="0"/>
      <w:marBottom w:val="0"/>
      <w:divBdr>
        <w:top w:val="none" w:sz="0" w:space="0" w:color="auto"/>
        <w:left w:val="none" w:sz="0" w:space="0" w:color="auto"/>
        <w:bottom w:val="none" w:sz="0" w:space="0" w:color="auto"/>
        <w:right w:val="none" w:sz="0" w:space="0" w:color="auto"/>
      </w:divBdr>
    </w:div>
    <w:div w:id="377894750">
      <w:bodyDiv w:val="1"/>
      <w:marLeft w:val="0"/>
      <w:marRight w:val="0"/>
      <w:marTop w:val="0"/>
      <w:marBottom w:val="0"/>
      <w:divBdr>
        <w:top w:val="none" w:sz="0" w:space="0" w:color="auto"/>
        <w:left w:val="none" w:sz="0" w:space="0" w:color="auto"/>
        <w:bottom w:val="none" w:sz="0" w:space="0" w:color="auto"/>
        <w:right w:val="none" w:sz="0" w:space="0" w:color="auto"/>
      </w:divBdr>
    </w:div>
    <w:div w:id="379323015">
      <w:bodyDiv w:val="1"/>
      <w:marLeft w:val="0"/>
      <w:marRight w:val="0"/>
      <w:marTop w:val="0"/>
      <w:marBottom w:val="0"/>
      <w:divBdr>
        <w:top w:val="none" w:sz="0" w:space="0" w:color="auto"/>
        <w:left w:val="none" w:sz="0" w:space="0" w:color="auto"/>
        <w:bottom w:val="none" w:sz="0" w:space="0" w:color="auto"/>
        <w:right w:val="none" w:sz="0" w:space="0" w:color="auto"/>
      </w:divBdr>
    </w:div>
    <w:div w:id="380371950">
      <w:bodyDiv w:val="1"/>
      <w:marLeft w:val="0"/>
      <w:marRight w:val="0"/>
      <w:marTop w:val="0"/>
      <w:marBottom w:val="0"/>
      <w:divBdr>
        <w:top w:val="none" w:sz="0" w:space="0" w:color="auto"/>
        <w:left w:val="none" w:sz="0" w:space="0" w:color="auto"/>
        <w:bottom w:val="none" w:sz="0" w:space="0" w:color="auto"/>
        <w:right w:val="none" w:sz="0" w:space="0" w:color="auto"/>
      </w:divBdr>
    </w:div>
    <w:div w:id="380444067">
      <w:bodyDiv w:val="1"/>
      <w:marLeft w:val="0"/>
      <w:marRight w:val="0"/>
      <w:marTop w:val="0"/>
      <w:marBottom w:val="0"/>
      <w:divBdr>
        <w:top w:val="none" w:sz="0" w:space="0" w:color="auto"/>
        <w:left w:val="none" w:sz="0" w:space="0" w:color="auto"/>
        <w:bottom w:val="none" w:sz="0" w:space="0" w:color="auto"/>
        <w:right w:val="none" w:sz="0" w:space="0" w:color="auto"/>
      </w:divBdr>
    </w:div>
    <w:div w:id="380448145">
      <w:bodyDiv w:val="1"/>
      <w:marLeft w:val="0"/>
      <w:marRight w:val="0"/>
      <w:marTop w:val="0"/>
      <w:marBottom w:val="0"/>
      <w:divBdr>
        <w:top w:val="none" w:sz="0" w:space="0" w:color="auto"/>
        <w:left w:val="none" w:sz="0" w:space="0" w:color="auto"/>
        <w:bottom w:val="none" w:sz="0" w:space="0" w:color="auto"/>
        <w:right w:val="none" w:sz="0" w:space="0" w:color="auto"/>
      </w:divBdr>
    </w:div>
    <w:div w:id="383330695">
      <w:bodyDiv w:val="1"/>
      <w:marLeft w:val="0"/>
      <w:marRight w:val="0"/>
      <w:marTop w:val="0"/>
      <w:marBottom w:val="0"/>
      <w:divBdr>
        <w:top w:val="none" w:sz="0" w:space="0" w:color="auto"/>
        <w:left w:val="none" w:sz="0" w:space="0" w:color="auto"/>
        <w:bottom w:val="none" w:sz="0" w:space="0" w:color="auto"/>
        <w:right w:val="none" w:sz="0" w:space="0" w:color="auto"/>
      </w:divBdr>
    </w:div>
    <w:div w:id="385565386">
      <w:bodyDiv w:val="1"/>
      <w:marLeft w:val="0"/>
      <w:marRight w:val="0"/>
      <w:marTop w:val="0"/>
      <w:marBottom w:val="0"/>
      <w:divBdr>
        <w:top w:val="none" w:sz="0" w:space="0" w:color="auto"/>
        <w:left w:val="none" w:sz="0" w:space="0" w:color="auto"/>
        <w:bottom w:val="none" w:sz="0" w:space="0" w:color="auto"/>
        <w:right w:val="none" w:sz="0" w:space="0" w:color="auto"/>
      </w:divBdr>
    </w:div>
    <w:div w:id="391581826">
      <w:bodyDiv w:val="1"/>
      <w:marLeft w:val="0"/>
      <w:marRight w:val="0"/>
      <w:marTop w:val="0"/>
      <w:marBottom w:val="0"/>
      <w:divBdr>
        <w:top w:val="none" w:sz="0" w:space="0" w:color="auto"/>
        <w:left w:val="none" w:sz="0" w:space="0" w:color="auto"/>
        <w:bottom w:val="none" w:sz="0" w:space="0" w:color="auto"/>
        <w:right w:val="none" w:sz="0" w:space="0" w:color="auto"/>
      </w:divBdr>
    </w:div>
    <w:div w:id="392700753">
      <w:bodyDiv w:val="1"/>
      <w:marLeft w:val="0"/>
      <w:marRight w:val="0"/>
      <w:marTop w:val="0"/>
      <w:marBottom w:val="0"/>
      <w:divBdr>
        <w:top w:val="none" w:sz="0" w:space="0" w:color="auto"/>
        <w:left w:val="none" w:sz="0" w:space="0" w:color="auto"/>
        <w:bottom w:val="none" w:sz="0" w:space="0" w:color="auto"/>
        <w:right w:val="none" w:sz="0" w:space="0" w:color="auto"/>
      </w:divBdr>
    </w:div>
    <w:div w:id="400493178">
      <w:bodyDiv w:val="1"/>
      <w:marLeft w:val="0"/>
      <w:marRight w:val="0"/>
      <w:marTop w:val="0"/>
      <w:marBottom w:val="0"/>
      <w:divBdr>
        <w:top w:val="none" w:sz="0" w:space="0" w:color="auto"/>
        <w:left w:val="none" w:sz="0" w:space="0" w:color="auto"/>
        <w:bottom w:val="none" w:sz="0" w:space="0" w:color="auto"/>
        <w:right w:val="none" w:sz="0" w:space="0" w:color="auto"/>
      </w:divBdr>
    </w:div>
    <w:div w:id="400559811">
      <w:bodyDiv w:val="1"/>
      <w:marLeft w:val="0"/>
      <w:marRight w:val="0"/>
      <w:marTop w:val="0"/>
      <w:marBottom w:val="0"/>
      <w:divBdr>
        <w:top w:val="none" w:sz="0" w:space="0" w:color="auto"/>
        <w:left w:val="none" w:sz="0" w:space="0" w:color="auto"/>
        <w:bottom w:val="none" w:sz="0" w:space="0" w:color="auto"/>
        <w:right w:val="none" w:sz="0" w:space="0" w:color="auto"/>
      </w:divBdr>
    </w:div>
    <w:div w:id="402413137">
      <w:bodyDiv w:val="1"/>
      <w:marLeft w:val="0"/>
      <w:marRight w:val="0"/>
      <w:marTop w:val="0"/>
      <w:marBottom w:val="0"/>
      <w:divBdr>
        <w:top w:val="none" w:sz="0" w:space="0" w:color="auto"/>
        <w:left w:val="none" w:sz="0" w:space="0" w:color="auto"/>
        <w:bottom w:val="none" w:sz="0" w:space="0" w:color="auto"/>
        <w:right w:val="none" w:sz="0" w:space="0" w:color="auto"/>
      </w:divBdr>
    </w:div>
    <w:div w:id="408237980">
      <w:bodyDiv w:val="1"/>
      <w:marLeft w:val="0"/>
      <w:marRight w:val="0"/>
      <w:marTop w:val="0"/>
      <w:marBottom w:val="0"/>
      <w:divBdr>
        <w:top w:val="none" w:sz="0" w:space="0" w:color="auto"/>
        <w:left w:val="none" w:sz="0" w:space="0" w:color="auto"/>
        <w:bottom w:val="none" w:sz="0" w:space="0" w:color="auto"/>
        <w:right w:val="none" w:sz="0" w:space="0" w:color="auto"/>
      </w:divBdr>
    </w:div>
    <w:div w:id="409087296">
      <w:bodyDiv w:val="1"/>
      <w:marLeft w:val="0"/>
      <w:marRight w:val="0"/>
      <w:marTop w:val="0"/>
      <w:marBottom w:val="0"/>
      <w:divBdr>
        <w:top w:val="none" w:sz="0" w:space="0" w:color="auto"/>
        <w:left w:val="none" w:sz="0" w:space="0" w:color="auto"/>
        <w:bottom w:val="none" w:sz="0" w:space="0" w:color="auto"/>
        <w:right w:val="none" w:sz="0" w:space="0" w:color="auto"/>
      </w:divBdr>
    </w:div>
    <w:div w:id="415327686">
      <w:bodyDiv w:val="1"/>
      <w:marLeft w:val="0"/>
      <w:marRight w:val="0"/>
      <w:marTop w:val="0"/>
      <w:marBottom w:val="0"/>
      <w:divBdr>
        <w:top w:val="none" w:sz="0" w:space="0" w:color="auto"/>
        <w:left w:val="none" w:sz="0" w:space="0" w:color="auto"/>
        <w:bottom w:val="none" w:sz="0" w:space="0" w:color="auto"/>
        <w:right w:val="none" w:sz="0" w:space="0" w:color="auto"/>
      </w:divBdr>
    </w:div>
    <w:div w:id="419058399">
      <w:bodyDiv w:val="1"/>
      <w:marLeft w:val="0"/>
      <w:marRight w:val="0"/>
      <w:marTop w:val="0"/>
      <w:marBottom w:val="0"/>
      <w:divBdr>
        <w:top w:val="none" w:sz="0" w:space="0" w:color="auto"/>
        <w:left w:val="none" w:sz="0" w:space="0" w:color="auto"/>
        <w:bottom w:val="none" w:sz="0" w:space="0" w:color="auto"/>
        <w:right w:val="none" w:sz="0" w:space="0" w:color="auto"/>
      </w:divBdr>
    </w:div>
    <w:div w:id="423888977">
      <w:bodyDiv w:val="1"/>
      <w:marLeft w:val="0"/>
      <w:marRight w:val="0"/>
      <w:marTop w:val="0"/>
      <w:marBottom w:val="0"/>
      <w:divBdr>
        <w:top w:val="none" w:sz="0" w:space="0" w:color="auto"/>
        <w:left w:val="none" w:sz="0" w:space="0" w:color="auto"/>
        <w:bottom w:val="none" w:sz="0" w:space="0" w:color="auto"/>
        <w:right w:val="none" w:sz="0" w:space="0" w:color="auto"/>
      </w:divBdr>
    </w:div>
    <w:div w:id="429398881">
      <w:bodyDiv w:val="1"/>
      <w:marLeft w:val="0"/>
      <w:marRight w:val="0"/>
      <w:marTop w:val="0"/>
      <w:marBottom w:val="0"/>
      <w:divBdr>
        <w:top w:val="none" w:sz="0" w:space="0" w:color="auto"/>
        <w:left w:val="none" w:sz="0" w:space="0" w:color="auto"/>
        <w:bottom w:val="none" w:sz="0" w:space="0" w:color="auto"/>
        <w:right w:val="none" w:sz="0" w:space="0" w:color="auto"/>
      </w:divBdr>
    </w:div>
    <w:div w:id="429786457">
      <w:bodyDiv w:val="1"/>
      <w:marLeft w:val="0"/>
      <w:marRight w:val="0"/>
      <w:marTop w:val="0"/>
      <w:marBottom w:val="0"/>
      <w:divBdr>
        <w:top w:val="none" w:sz="0" w:space="0" w:color="auto"/>
        <w:left w:val="none" w:sz="0" w:space="0" w:color="auto"/>
        <w:bottom w:val="none" w:sz="0" w:space="0" w:color="auto"/>
        <w:right w:val="none" w:sz="0" w:space="0" w:color="auto"/>
      </w:divBdr>
    </w:div>
    <w:div w:id="441193049">
      <w:bodyDiv w:val="1"/>
      <w:marLeft w:val="0"/>
      <w:marRight w:val="0"/>
      <w:marTop w:val="0"/>
      <w:marBottom w:val="0"/>
      <w:divBdr>
        <w:top w:val="none" w:sz="0" w:space="0" w:color="auto"/>
        <w:left w:val="none" w:sz="0" w:space="0" w:color="auto"/>
        <w:bottom w:val="none" w:sz="0" w:space="0" w:color="auto"/>
        <w:right w:val="none" w:sz="0" w:space="0" w:color="auto"/>
      </w:divBdr>
    </w:div>
    <w:div w:id="443691978">
      <w:bodyDiv w:val="1"/>
      <w:marLeft w:val="0"/>
      <w:marRight w:val="0"/>
      <w:marTop w:val="0"/>
      <w:marBottom w:val="0"/>
      <w:divBdr>
        <w:top w:val="none" w:sz="0" w:space="0" w:color="auto"/>
        <w:left w:val="none" w:sz="0" w:space="0" w:color="auto"/>
        <w:bottom w:val="none" w:sz="0" w:space="0" w:color="auto"/>
        <w:right w:val="none" w:sz="0" w:space="0" w:color="auto"/>
      </w:divBdr>
    </w:div>
    <w:div w:id="444542824">
      <w:bodyDiv w:val="1"/>
      <w:marLeft w:val="0"/>
      <w:marRight w:val="0"/>
      <w:marTop w:val="0"/>
      <w:marBottom w:val="0"/>
      <w:divBdr>
        <w:top w:val="none" w:sz="0" w:space="0" w:color="auto"/>
        <w:left w:val="none" w:sz="0" w:space="0" w:color="auto"/>
        <w:bottom w:val="none" w:sz="0" w:space="0" w:color="auto"/>
        <w:right w:val="none" w:sz="0" w:space="0" w:color="auto"/>
      </w:divBdr>
    </w:div>
    <w:div w:id="448279345">
      <w:bodyDiv w:val="1"/>
      <w:marLeft w:val="0"/>
      <w:marRight w:val="0"/>
      <w:marTop w:val="0"/>
      <w:marBottom w:val="0"/>
      <w:divBdr>
        <w:top w:val="none" w:sz="0" w:space="0" w:color="auto"/>
        <w:left w:val="none" w:sz="0" w:space="0" w:color="auto"/>
        <w:bottom w:val="none" w:sz="0" w:space="0" w:color="auto"/>
        <w:right w:val="none" w:sz="0" w:space="0" w:color="auto"/>
      </w:divBdr>
    </w:div>
    <w:div w:id="449671367">
      <w:bodyDiv w:val="1"/>
      <w:marLeft w:val="0"/>
      <w:marRight w:val="0"/>
      <w:marTop w:val="0"/>
      <w:marBottom w:val="0"/>
      <w:divBdr>
        <w:top w:val="none" w:sz="0" w:space="0" w:color="auto"/>
        <w:left w:val="none" w:sz="0" w:space="0" w:color="auto"/>
        <w:bottom w:val="none" w:sz="0" w:space="0" w:color="auto"/>
        <w:right w:val="none" w:sz="0" w:space="0" w:color="auto"/>
      </w:divBdr>
    </w:div>
    <w:div w:id="452792992">
      <w:bodyDiv w:val="1"/>
      <w:marLeft w:val="0"/>
      <w:marRight w:val="0"/>
      <w:marTop w:val="0"/>
      <w:marBottom w:val="0"/>
      <w:divBdr>
        <w:top w:val="none" w:sz="0" w:space="0" w:color="auto"/>
        <w:left w:val="none" w:sz="0" w:space="0" w:color="auto"/>
        <w:bottom w:val="none" w:sz="0" w:space="0" w:color="auto"/>
        <w:right w:val="none" w:sz="0" w:space="0" w:color="auto"/>
      </w:divBdr>
    </w:div>
    <w:div w:id="455415660">
      <w:bodyDiv w:val="1"/>
      <w:marLeft w:val="0"/>
      <w:marRight w:val="0"/>
      <w:marTop w:val="0"/>
      <w:marBottom w:val="0"/>
      <w:divBdr>
        <w:top w:val="none" w:sz="0" w:space="0" w:color="auto"/>
        <w:left w:val="none" w:sz="0" w:space="0" w:color="auto"/>
        <w:bottom w:val="none" w:sz="0" w:space="0" w:color="auto"/>
        <w:right w:val="none" w:sz="0" w:space="0" w:color="auto"/>
      </w:divBdr>
    </w:div>
    <w:div w:id="459687889">
      <w:bodyDiv w:val="1"/>
      <w:marLeft w:val="0"/>
      <w:marRight w:val="0"/>
      <w:marTop w:val="0"/>
      <w:marBottom w:val="0"/>
      <w:divBdr>
        <w:top w:val="none" w:sz="0" w:space="0" w:color="auto"/>
        <w:left w:val="none" w:sz="0" w:space="0" w:color="auto"/>
        <w:bottom w:val="none" w:sz="0" w:space="0" w:color="auto"/>
        <w:right w:val="none" w:sz="0" w:space="0" w:color="auto"/>
      </w:divBdr>
    </w:div>
    <w:div w:id="468937340">
      <w:bodyDiv w:val="1"/>
      <w:marLeft w:val="0"/>
      <w:marRight w:val="0"/>
      <w:marTop w:val="0"/>
      <w:marBottom w:val="0"/>
      <w:divBdr>
        <w:top w:val="none" w:sz="0" w:space="0" w:color="auto"/>
        <w:left w:val="none" w:sz="0" w:space="0" w:color="auto"/>
        <w:bottom w:val="none" w:sz="0" w:space="0" w:color="auto"/>
        <w:right w:val="none" w:sz="0" w:space="0" w:color="auto"/>
      </w:divBdr>
    </w:div>
    <w:div w:id="471335920">
      <w:bodyDiv w:val="1"/>
      <w:marLeft w:val="0"/>
      <w:marRight w:val="0"/>
      <w:marTop w:val="0"/>
      <w:marBottom w:val="0"/>
      <w:divBdr>
        <w:top w:val="none" w:sz="0" w:space="0" w:color="auto"/>
        <w:left w:val="none" w:sz="0" w:space="0" w:color="auto"/>
        <w:bottom w:val="none" w:sz="0" w:space="0" w:color="auto"/>
        <w:right w:val="none" w:sz="0" w:space="0" w:color="auto"/>
      </w:divBdr>
    </w:div>
    <w:div w:id="478226031">
      <w:bodyDiv w:val="1"/>
      <w:marLeft w:val="0"/>
      <w:marRight w:val="0"/>
      <w:marTop w:val="0"/>
      <w:marBottom w:val="0"/>
      <w:divBdr>
        <w:top w:val="none" w:sz="0" w:space="0" w:color="auto"/>
        <w:left w:val="none" w:sz="0" w:space="0" w:color="auto"/>
        <w:bottom w:val="none" w:sz="0" w:space="0" w:color="auto"/>
        <w:right w:val="none" w:sz="0" w:space="0" w:color="auto"/>
      </w:divBdr>
    </w:div>
    <w:div w:id="480200817">
      <w:bodyDiv w:val="1"/>
      <w:marLeft w:val="0"/>
      <w:marRight w:val="0"/>
      <w:marTop w:val="0"/>
      <w:marBottom w:val="0"/>
      <w:divBdr>
        <w:top w:val="none" w:sz="0" w:space="0" w:color="auto"/>
        <w:left w:val="none" w:sz="0" w:space="0" w:color="auto"/>
        <w:bottom w:val="none" w:sz="0" w:space="0" w:color="auto"/>
        <w:right w:val="none" w:sz="0" w:space="0" w:color="auto"/>
      </w:divBdr>
    </w:div>
    <w:div w:id="480541929">
      <w:bodyDiv w:val="1"/>
      <w:marLeft w:val="0"/>
      <w:marRight w:val="0"/>
      <w:marTop w:val="0"/>
      <w:marBottom w:val="0"/>
      <w:divBdr>
        <w:top w:val="none" w:sz="0" w:space="0" w:color="auto"/>
        <w:left w:val="none" w:sz="0" w:space="0" w:color="auto"/>
        <w:bottom w:val="none" w:sz="0" w:space="0" w:color="auto"/>
        <w:right w:val="none" w:sz="0" w:space="0" w:color="auto"/>
      </w:divBdr>
    </w:div>
    <w:div w:id="488594727">
      <w:bodyDiv w:val="1"/>
      <w:marLeft w:val="0"/>
      <w:marRight w:val="0"/>
      <w:marTop w:val="0"/>
      <w:marBottom w:val="0"/>
      <w:divBdr>
        <w:top w:val="none" w:sz="0" w:space="0" w:color="auto"/>
        <w:left w:val="none" w:sz="0" w:space="0" w:color="auto"/>
        <w:bottom w:val="none" w:sz="0" w:space="0" w:color="auto"/>
        <w:right w:val="none" w:sz="0" w:space="0" w:color="auto"/>
      </w:divBdr>
    </w:div>
    <w:div w:id="488668995">
      <w:bodyDiv w:val="1"/>
      <w:marLeft w:val="0"/>
      <w:marRight w:val="0"/>
      <w:marTop w:val="0"/>
      <w:marBottom w:val="0"/>
      <w:divBdr>
        <w:top w:val="none" w:sz="0" w:space="0" w:color="auto"/>
        <w:left w:val="none" w:sz="0" w:space="0" w:color="auto"/>
        <w:bottom w:val="none" w:sz="0" w:space="0" w:color="auto"/>
        <w:right w:val="none" w:sz="0" w:space="0" w:color="auto"/>
      </w:divBdr>
    </w:div>
    <w:div w:id="488794607">
      <w:bodyDiv w:val="1"/>
      <w:marLeft w:val="0"/>
      <w:marRight w:val="0"/>
      <w:marTop w:val="0"/>
      <w:marBottom w:val="0"/>
      <w:divBdr>
        <w:top w:val="none" w:sz="0" w:space="0" w:color="auto"/>
        <w:left w:val="none" w:sz="0" w:space="0" w:color="auto"/>
        <w:bottom w:val="none" w:sz="0" w:space="0" w:color="auto"/>
        <w:right w:val="none" w:sz="0" w:space="0" w:color="auto"/>
      </w:divBdr>
    </w:div>
    <w:div w:id="496770583">
      <w:bodyDiv w:val="1"/>
      <w:marLeft w:val="0"/>
      <w:marRight w:val="0"/>
      <w:marTop w:val="0"/>
      <w:marBottom w:val="0"/>
      <w:divBdr>
        <w:top w:val="none" w:sz="0" w:space="0" w:color="auto"/>
        <w:left w:val="none" w:sz="0" w:space="0" w:color="auto"/>
        <w:bottom w:val="none" w:sz="0" w:space="0" w:color="auto"/>
        <w:right w:val="none" w:sz="0" w:space="0" w:color="auto"/>
      </w:divBdr>
    </w:div>
    <w:div w:id="498084597">
      <w:bodyDiv w:val="1"/>
      <w:marLeft w:val="0"/>
      <w:marRight w:val="0"/>
      <w:marTop w:val="0"/>
      <w:marBottom w:val="0"/>
      <w:divBdr>
        <w:top w:val="none" w:sz="0" w:space="0" w:color="auto"/>
        <w:left w:val="none" w:sz="0" w:space="0" w:color="auto"/>
        <w:bottom w:val="none" w:sz="0" w:space="0" w:color="auto"/>
        <w:right w:val="none" w:sz="0" w:space="0" w:color="auto"/>
      </w:divBdr>
    </w:div>
    <w:div w:id="499660794">
      <w:bodyDiv w:val="1"/>
      <w:marLeft w:val="0"/>
      <w:marRight w:val="0"/>
      <w:marTop w:val="0"/>
      <w:marBottom w:val="0"/>
      <w:divBdr>
        <w:top w:val="none" w:sz="0" w:space="0" w:color="auto"/>
        <w:left w:val="none" w:sz="0" w:space="0" w:color="auto"/>
        <w:bottom w:val="none" w:sz="0" w:space="0" w:color="auto"/>
        <w:right w:val="none" w:sz="0" w:space="0" w:color="auto"/>
      </w:divBdr>
    </w:div>
    <w:div w:id="501312835">
      <w:bodyDiv w:val="1"/>
      <w:marLeft w:val="0"/>
      <w:marRight w:val="0"/>
      <w:marTop w:val="0"/>
      <w:marBottom w:val="0"/>
      <w:divBdr>
        <w:top w:val="none" w:sz="0" w:space="0" w:color="auto"/>
        <w:left w:val="none" w:sz="0" w:space="0" w:color="auto"/>
        <w:bottom w:val="none" w:sz="0" w:space="0" w:color="auto"/>
        <w:right w:val="none" w:sz="0" w:space="0" w:color="auto"/>
      </w:divBdr>
    </w:div>
    <w:div w:id="505903062">
      <w:bodyDiv w:val="1"/>
      <w:marLeft w:val="0"/>
      <w:marRight w:val="0"/>
      <w:marTop w:val="0"/>
      <w:marBottom w:val="0"/>
      <w:divBdr>
        <w:top w:val="none" w:sz="0" w:space="0" w:color="auto"/>
        <w:left w:val="none" w:sz="0" w:space="0" w:color="auto"/>
        <w:bottom w:val="none" w:sz="0" w:space="0" w:color="auto"/>
        <w:right w:val="none" w:sz="0" w:space="0" w:color="auto"/>
      </w:divBdr>
    </w:div>
    <w:div w:id="507712992">
      <w:bodyDiv w:val="1"/>
      <w:marLeft w:val="0"/>
      <w:marRight w:val="0"/>
      <w:marTop w:val="0"/>
      <w:marBottom w:val="0"/>
      <w:divBdr>
        <w:top w:val="none" w:sz="0" w:space="0" w:color="auto"/>
        <w:left w:val="none" w:sz="0" w:space="0" w:color="auto"/>
        <w:bottom w:val="none" w:sz="0" w:space="0" w:color="auto"/>
        <w:right w:val="none" w:sz="0" w:space="0" w:color="auto"/>
      </w:divBdr>
    </w:div>
    <w:div w:id="507790645">
      <w:bodyDiv w:val="1"/>
      <w:marLeft w:val="0"/>
      <w:marRight w:val="0"/>
      <w:marTop w:val="0"/>
      <w:marBottom w:val="0"/>
      <w:divBdr>
        <w:top w:val="none" w:sz="0" w:space="0" w:color="auto"/>
        <w:left w:val="none" w:sz="0" w:space="0" w:color="auto"/>
        <w:bottom w:val="none" w:sz="0" w:space="0" w:color="auto"/>
        <w:right w:val="none" w:sz="0" w:space="0" w:color="auto"/>
      </w:divBdr>
    </w:div>
    <w:div w:id="515966538">
      <w:bodyDiv w:val="1"/>
      <w:marLeft w:val="0"/>
      <w:marRight w:val="0"/>
      <w:marTop w:val="0"/>
      <w:marBottom w:val="0"/>
      <w:divBdr>
        <w:top w:val="none" w:sz="0" w:space="0" w:color="auto"/>
        <w:left w:val="none" w:sz="0" w:space="0" w:color="auto"/>
        <w:bottom w:val="none" w:sz="0" w:space="0" w:color="auto"/>
        <w:right w:val="none" w:sz="0" w:space="0" w:color="auto"/>
      </w:divBdr>
    </w:div>
    <w:div w:id="516818872">
      <w:bodyDiv w:val="1"/>
      <w:marLeft w:val="0"/>
      <w:marRight w:val="0"/>
      <w:marTop w:val="0"/>
      <w:marBottom w:val="0"/>
      <w:divBdr>
        <w:top w:val="none" w:sz="0" w:space="0" w:color="auto"/>
        <w:left w:val="none" w:sz="0" w:space="0" w:color="auto"/>
        <w:bottom w:val="none" w:sz="0" w:space="0" w:color="auto"/>
        <w:right w:val="none" w:sz="0" w:space="0" w:color="auto"/>
      </w:divBdr>
    </w:div>
    <w:div w:id="517547601">
      <w:bodyDiv w:val="1"/>
      <w:marLeft w:val="0"/>
      <w:marRight w:val="0"/>
      <w:marTop w:val="0"/>
      <w:marBottom w:val="0"/>
      <w:divBdr>
        <w:top w:val="none" w:sz="0" w:space="0" w:color="auto"/>
        <w:left w:val="none" w:sz="0" w:space="0" w:color="auto"/>
        <w:bottom w:val="none" w:sz="0" w:space="0" w:color="auto"/>
        <w:right w:val="none" w:sz="0" w:space="0" w:color="auto"/>
      </w:divBdr>
    </w:div>
    <w:div w:id="518399567">
      <w:bodyDiv w:val="1"/>
      <w:marLeft w:val="0"/>
      <w:marRight w:val="0"/>
      <w:marTop w:val="0"/>
      <w:marBottom w:val="0"/>
      <w:divBdr>
        <w:top w:val="none" w:sz="0" w:space="0" w:color="auto"/>
        <w:left w:val="none" w:sz="0" w:space="0" w:color="auto"/>
        <w:bottom w:val="none" w:sz="0" w:space="0" w:color="auto"/>
        <w:right w:val="none" w:sz="0" w:space="0" w:color="auto"/>
      </w:divBdr>
    </w:div>
    <w:div w:id="518812252">
      <w:bodyDiv w:val="1"/>
      <w:marLeft w:val="0"/>
      <w:marRight w:val="0"/>
      <w:marTop w:val="0"/>
      <w:marBottom w:val="0"/>
      <w:divBdr>
        <w:top w:val="none" w:sz="0" w:space="0" w:color="auto"/>
        <w:left w:val="none" w:sz="0" w:space="0" w:color="auto"/>
        <w:bottom w:val="none" w:sz="0" w:space="0" w:color="auto"/>
        <w:right w:val="none" w:sz="0" w:space="0" w:color="auto"/>
      </w:divBdr>
    </w:div>
    <w:div w:id="521435395">
      <w:bodyDiv w:val="1"/>
      <w:marLeft w:val="0"/>
      <w:marRight w:val="0"/>
      <w:marTop w:val="0"/>
      <w:marBottom w:val="0"/>
      <w:divBdr>
        <w:top w:val="none" w:sz="0" w:space="0" w:color="auto"/>
        <w:left w:val="none" w:sz="0" w:space="0" w:color="auto"/>
        <w:bottom w:val="none" w:sz="0" w:space="0" w:color="auto"/>
        <w:right w:val="none" w:sz="0" w:space="0" w:color="auto"/>
      </w:divBdr>
    </w:div>
    <w:div w:id="522592121">
      <w:bodyDiv w:val="1"/>
      <w:marLeft w:val="0"/>
      <w:marRight w:val="0"/>
      <w:marTop w:val="0"/>
      <w:marBottom w:val="0"/>
      <w:divBdr>
        <w:top w:val="none" w:sz="0" w:space="0" w:color="auto"/>
        <w:left w:val="none" w:sz="0" w:space="0" w:color="auto"/>
        <w:bottom w:val="none" w:sz="0" w:space="0" w:color="auto"/>
        <w:right w:val="none" w:sz="0" w:space="0" w:color="auto"/>
      </w:divBdr>
    </w:div>
    <w:div w:id="545725362">
      <w:bodyDiv w:val="1"/>
      <w:marLeft w:val="0"/>
      <w:marRight w:val="0"/>
      <w:marTop w:val="0"/>
      <w:marBottom w:val="0"/>
      <w:divBdr>
        <w:top w:val="none" w:sz="0" w:space="0" w:color="auto"/>
        <w:left w:val="none" w:sz="0" w:space="0" w:color="auto"/>
        <w:bottom w:val="none" w:sz="0" w:space="0" w:color="auto"/>
        <w:right w:val="none" w:sz="0" w:space="0" w:color="auto"/>
      </w:divBdr>
    </w:div>
    <w:div w:id="546842208">
      <w:bodyDiv w:val="1"/>
      <w:marLeft w:val="0"/>
      <w:marRight w:val="0"/>
      <w:marTop w:val="0"/>
      <w:marBottom w:val="0"/>
      <w:divBdr>
        <w:top w:val="none" w:sz="0" w:space="0" w:color="auto"/>
        <w:left w:val="none" w:sz="0" w:space="0" w:color="auto"/>
        <w:bottom w:val="none" w:sz="0" w:space="0" w:color="auto"/>
        <w:right w:val="none" w:sz="0" w:space="0" w:color="auto"/>
      </w:divBdr>
    </w:div>
    <w:div w:id="550270547">
      <w:bodyDiv w:val="1"/>
      <w:marLeft w:val="0"/>
      <w:marRight w:val="0"/>
      <w:marTop w:val="0"/>
      <w:marBottom w:val="0"/>
      <w:divBdr>
        <w:top w:val="none" w:sz="0" w:space="0" w:color="auto"/>
        <w:left w:val="none" w:sz="0" w:space="0" w:color="auto"/>
        <w:bottom w:val="none" w:sz="0" w:space="0" w:color="auto"/>
        <w:right w:val="none" w:sz="0" w:space="0" w:color="auto"/>
      </w:divBdr>
    </w:div>
    <w:div w:id="554973978">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569316588">
      <w:bodyDiv w:val="1"/>
      <w:marLeft w:val="0"/>
      <w:marRight w:val="0"/>
      <w:marTop w:val="0"/>
      <w:marBottom w:val="0"/>
      <w:divBdr>
        <w:top w:val="none" w:sz="0" w:space="0" w:color="auto"/>
        <w:left w:val="none" w:sz="0" w:space="0" w:color="auto"/>
        <w:bottom w:val="none" w:sz="0" w:space="0" w:color="auto"/>
        <w:right w:val="none" w:sz="0" w:space="0" w:color="auto"/>
      </w:divBdr>
    </w:div>
    <w:div w:id="574821719">
      <w:bodyDiv w:val="1"/>
      <w:marLeft w:val="0"/>
      <w:marRight w:val="0"/>
      <w:marTop w:val="0"/>
      <w:marBottom w:val="0"/>
      <w:divBdr>
        <w:top w:val="none" w:sz="0" w:space="0" w:color="auto"/>
        <w:left w:val="none" w:sz="0" w:space="0" w:color="auto"/>
        <w:bottom w:val="none" w:sz="0" w:space="0" w:color="auto"/>
        <w:right w:val="none" w:sz="0" w:space="0" w:color="auto"/>
      </w:divBdr>
    </w:div>
    <w:div w:id="588391497">
      <w:bodyDiv w:val="1"/>
      <w:marLeft w:val="0"/>
      <w:marRight w:val="0"/>
      <w:marTop w:val="0"/>
      <w:marBottom w:val="0"/>
      <w:divBdr>
        <w:top w:val="none" w:sz="0" w:space="0" w:color="auto"/>
        <w:left w:val="none" w:sz="0" w:space="0" w:color="auto"/>
        <w:bottom w:val="none" w:sz="0" w:space="0" w:color="auto"/>
        <w:right w:val="none" w:sz="0" w:space="0" w:color="auto"/>
      </w:divBdr>
    </w:div>
    <w:div w:id="592980246">
      <w:bodyDiv w:val="1"/>
      <w:marLeft w:val="0"/>
      <w:marRight w:val="0"/>
      <w:marTop w:val="0"/>
      <w:marBottom w:val="0"/>
      <w:divBdr>
        <w:top w:val="none" w:sz="0" w:space="0" w:color="auto"/>
        <w:left w:val="none" w:sz="0" w:space="0" w:color="auto"/>
        <w:bottom w:val="none" w:sz="0" w:space="0" w:color="auto"/>
        <w:right w:val="none" w:sz="0" w:space="0" w:color="auto"/>
      </w:divBdr>
    </w:div>
    <w:div w:id="595286839">
      <w:bodyDiv w:val="1"/>
      <w:marLeft w:val="0"/>
      <w:marRight w:val="0"/>
      <w:marTop w:val="0"/>
      <w:marBottom w:val="0"/>
      <w:divBdr>
        <w:top w:val="none" w:sz="0" w:space="0" w:color="auto"/>
        <w:left w:val="none" w:sz="0" w:space="0" w:color="auto"/>
        <w:bottom w:val="none" w:sz="0" w:space="0" w:color="auto"/>
        <w:right w:val="none" w:sz="0" w:space="0" w:color="auto"/>
      </w:divBdr>
    </w:div>
    <w:div w:id="599992218">
      <w:bodyDiv w:val="1"/>
      <w:marLeft w:val="0"/>
      <w:marRight w:val="0"/>
      <w:marTop w:val="0"/>
      <w:marBottom w:val="0"/>
      <w:divBdr>
        <w:top w:val="none" w:sz="0" w:space="0" w:color="auto"/>
        <w:left w:val="none" w:sz="0" w:space="0" w:color="auto"/>
        <w:bottom w:val="none" w:sz="0" w:space="0" w:color="auto"/>
        <w:right w:val="none" w:sz="0" w:space="0" w:color="auto"/>
      </w:divBdr>
    </w:div>
    <w:div w:id="606501562">
      <w:bodyDiv w:val="1"/>
      <w:marLeft w:val="0"/>
      <w:marRight w:val="0"/>
      <w:marTop w:val="0"/>
      <w:marBottom w:val="0"/>
      <w:divBdr>
        <w:top w:val="none" w:sz="0" w:space="0" w:color="auto"/>
        <w:left w:val="none" w:sz="0" w:space="0" w:color="auto"/>
        <w:bottom w:val="none" w:sz="0" w:space="0" w:color="auto"/>
        <w:right w:val="none" w:sz="0" w:space="0" w:color="auto"/>
      </w:divBdr>
    </w:div>
    <w:div w:id="615217514">
      <w:bodyDiv w:val="1"/>
      <w:marLeft w:val="0"/>
      <w:marRight w:val="0"/>
      <w:marTop w:val="0"/>
      <w:marBottom w:val="0"/>
      <w:divBdr>
        <w:top w:val="none" w:sz="0" w:space="0" w:color="auto"/>
        <w:left w:val="none" w:sz="0" w:space="0" w:color="auto"/>
        <w:bottom w:val="none" w:sz="0" w:space="0" w:color="auto"/>
        <w:right w:val="none" w:sz="0" w:space="0" w:color="auto"/>
      </w:divBdr>
    </w:div>
    <w:div w:id="617756444">
      <w:bodyDiv w:val="1"/>
      <w:marLeft w:val="0"/>
      <w:marRight w:val="0"/>
      <w:marTop w:val="0"/>
      <w:marBottom w:val="0"/>
      <w:divBdr>
        <w:top w:val="none" w:sz="0" w:space="0" w:color="auto"/>
        <w:left w:val="none" w:sz="0" w:space="0" w:color="auto"/>
        <w:bottom w:val="none" w:sz="0" w:space="0" w:color="auto"/>
        <w:right w:val="none" w:sz="0" w:space="0" w:color="auto"/>
      </w:divBdr>
    </w:div>
    <w:div w:id="617957648">
      <w:bodyDiv w:val="1"/>
      <w:marLeft w:val="0"/>
      <w:marRight w:val="0"/>
      <w:marTop w:val="0"/>
      <w:marBottom w:val="0"/>
      <w:divBdr>
        <w:top w:val="none" w:sz="0" w:space="0" w:color="auto"/>
        <w:left w:val="none" w:sz="0" w:space="0" w:color="auto"/>
        <w:bottom w:val="none" w:sz="0" w:space="0" w:color="auto"/>
        <w:right w:val="none" w:sz="0" w:space="0" w:color="auto"/>
      </w:divBdr>
    </w:div>
    <w:div w:id="624383520">
      <w:bodyDiv w:val="1"/>
      <w:marLeft w:val="0"/>
      <w:marRight w:val="0"/>
      <w:marTop w:val="0"/>
      <w:marBottom w:val="0"/>
      <w:divBdr>
        <w:top w:val="none" w:sz="0" w:space="0" w:color="auto"/>
        <w:left w:val="none" w:sz="0" w:space="0" w:color="auto"/>
        <w:bottom w:val="none" w:sz="0" w:space="0" w:color="auto"/>
        <w:right w:val="none" w:sz="0" w:space="0" w:color="auto"/>
      </w:divBdr>
    </w:div>
    <w:div w:id="626620148">
      <w:bodyDiv w:val="1"/>
      <w:marLeft w:val="0"/>
      <w:marRight w:val="0"/>
      <w:marTop w:val="0"/>
      <w:marBottom w:val="0"/>
      <w:divBdr>
        <w:top w:val="none" w:sz="0" w:space="0" w:color="auto"/>
        <w:left w:val="none" w:sz="0" w:space="0" w:color="auto"/>
        <w:bottom w:val="none" w:sz="0" w:space="0" w:color="auto"/>
        <w:right w:val="none" w:sz="0" w:space="0" w:color="auto"/>
      </w:divBdr>
    </w:div>
    <w:div w:id="632441885">
      <w:bodyDiv w:val="1"/>
      <w:marLeft w:val="0"/>
      <w:marRight w:val="0"/>
      <w:marTop w:val="0"/>
      <w:marBottom w:val="0"/>
      <w:divBdr>
        <w:top w:val="none" w:sz="0" w:space="0" w:color="auto"/>
        <w:left w:val="none" w:sz="0" w:space="0" w:color="auto"/>
        <w:bottom w:val="none" w:sz="0" w:space="0" w:color="auto"/>
        <w:right w:val="none" w:sz="0" w:space="0" w:color="auto"/>
      </w:divBdr>
    </w:div>
    <w:div w:id="632558278">
      <w:bodyDiv w:val="1"/>
      <w:marLeft w:val="0"/>
      <w:marRight w:val="0"/>
      <w:marTop w:val="0"/>
      <w:marBottom w:val="0"/>
      <w:divBdr>
        <w:top w:val="none" w:sz="0" w:space="0" w:color="auto"/>
        <w:left w:val="none" w:sz="0" w:space="0" w:color="auto"/>
        <w:bottom w:val="none" w:sz="0" w:space="0" w:color="auto"/>
        <w:right w:val="none" w:sz="0" w:space="0" w:color="auto"/>
      </w:divBdr>
    </w:div>
    <w:div w:id="634873539">
      <w:bodyDiv w:val="1"/>
      <w:marLeft w:val="0"/>
      <w:marRight w:val="0"/>
      <w:marTop w:val="0"/>
      <w:marBottom w:val="0"/>
      <w:divBdr>
        <w:top w:val="none" w:sz="0" w:space="0" w:color="auto"/>
        <w:left w:val="none" w:sz="0" w:space="0" w:color="auto"/>
        <w:bottom w:val="none" w:sz="0" w:space="0" w:color="auto"/>
        <w:right w:val="none" w:sz="0" w:space="0" w:color="auto"/>
      </w:divBdr>
    </w:div>
    <w:div w:id="645865933">
      <w:bodyDiv w:val="1"/>
      <w:marLeft w:val="0"/>
      <w:marRight w:val="0"/>
      <w:marTop w:val="0"/>
      <w:marBottom w:val="0"/>
      <w:divBdr>
        <w:top w:val="none" w:sz="0" w:space="0" w:color="auto"/>
        <w:left w:val="none" w:sz="0" w:space="0" w:color="auto"/>
        <w:bottom w:val="none" w:sz="0" w:space="0" w:color="auto"/>
        <w:right w:val="none" w:sz="0" w:space="0" w:color="auto"/>
      </w:divBdr>
    </w:div>
    <w:div w:id="648827495">
      <w:bodyDiv w:val="1"/>
      <w:marLeft w:val="0"/>
      <w:marRight w:val="0"/>
      <w:marTop w:val="0"/>
      <w:marBottom w:val="0"/>
      <w:divBdr>
        <w:top w:val="none" w:sz="0" w:space="0" w:color="auto"/>
        <w:left w:val="none" w:sz="0" w:space="0" w:color="auto"/>
        <w:bottom w:val="none" w:sz="0" w:space="0" w:color="auto"/>
        <w:right w:val="none" w:sz="0" w:space="0" w:color="auto"/>
      </w:divBdr>
    </w:div>
    <w:div w:id="649989530">
      <w:bodyDiv w:val="1"/>
      <w:marLeft w:val="0"/>
      <w:marRight w:val="0"/>
      <w:marTop w:val="0"/>
      <w:marBottom w:val="0"/>
      <w:divBdr>
        <w:top w:val="none" w:sz="0" w:space="0" w:color="auto"/>
        <w:left w:val="none" w:sz="0" w:space="0" w:color="auto"/>
        <w:bottom w:val="none" w:sz="0" w:space="0" w:color="auto"/>
        <w:right w:val="none" w:sz="0" w:space="0" w:color="auto"/>
      </w:divBdr>
    </w:div>
    <w:div w:id="655035530">
      <w:bodyDiv w:val="1"/>
      <w:marLeft w:val="0"/>
      <w:marRight w:val="0"/>
      <w:marTop w:val="0"/>
      <w:marBottom w:val="0"/>
      <w:divBdr>
        <w:top w:val="none" w:sz="0" w:space="0" w:color="auto"/>
        <w:left w:val="none" w:sz="0" w:space="0" w:color="auto"/>
        <w:bottom w:val="none" w:sz="0" w:space="0" w:color="auto"/>
        <w:right w:val="none" w:sz="0" w:space="0" w:color="auto"/>
      </w:divBdr>
    </w:div>
    <w:div w:id="657929674">
      <w:bodyDiv w:val="1"/>
      <w:marLeft w:val="0"/>
      <w:marRight w:val="0"/>
      <w:marTop w:val="0"/>
      <w:marBottom w:val="0"/>
      <w:divBdr>
        <w:top w:val="none" w:sz="0" w:space="0" w:color="auto"/>
        <w:left w:val="none" w:sz="0" w:space="0" w:color="auto"/>
        <w:bottom w:val="none" w:sz="0" w:space="0" w:color="auto"/>
        <w:right w:val="none" w:sz="0" w:space="0" w:color="auto"/>
      </w:divBdr>
    </w:div>
    <w:div w:id="660163928">
      <w:bodyDiv w:val="1"/>
      <w:marLeft w:val="0"/>
      <w:marRight w:val="0"/>
      <w:marTop w:val="0"/>
      <w:marBottom w:val="0"/>
      <w:divBdr>
        <w:top w:val="none" w:sz="0" w:space="0" w:color="auto"/>
        <w:left w:val="none" w:sz="0" w:space="0" w:color="auto"/>
        <w:bottom w:val="none" w:sz="0" w:space="0" w:color="auto"/>
        <w:right w:val="none" w:sz="0" w:space="0" w:color="auto"/>
      </w:divBdr>
    </w:div>
    <w:div w:id="660813347">
      <w:bodyDiv w:val="1"/>
      <w:marLeft w:val="0"/>
      <w:marRight w:val="0"/>
      <w:marTop w:val="0"/>
      <w:marBottom w:val="0"/>
      <w:divBdr>
        <w:top w:val="none" w:sz="0" w:space="0" w:color="auto"/>
        <w:left w:val="none" w:sz="0" w:space="0" w:color="auto"/>
        <w:bottom w:val="none" w:sz="0" w:space="0" w:color="auto"/>
        <w:right w:val="none" w:sz="0" w:space="0" w:color="auto"/>
      </w:divBdr>
    </w:div>
    <w:div w:id="664016972">
      <w:bodyDiv w:val="1"/>
      <w:marLeft w:val="0"/>
      <w:marRight w:val="0"/>
      <w:marTop w:val="0"/>
      <w:marBottom w:val="0"/>
      <w:divBdr>
        <w:top w:val="none" w:sz="0" w:space="0" w:color="auto"/>
        <w:left w:val="none" w:sz="0" w:space="0" w:color="auto"/>
        <w:bottom w:val="none" w:sz="0" w:space="0" w:color="auto"/>
        <w:right w:val="none" w:sz="0" w:space="0" w:color="auto"/>
      </w:divBdr>
    </w:div>
    <w:div w:id="685788264">
      <w:bodyDiv w:val="1"/>
      <w:marLeft w:val="0"/>
      <w:marRight w:val="0"/>
      <w:marTop w:val="0"/>
      <w:marBottom w:val="0"/>
      <w:divBdr>
        <w:top w:val="none" w:sz="0" w:space="0" w:color="auto"/>
        <w:left w:val="none" w:sz="0" w:space="0" w:color="auto"/>
        <w:bottom w:val="none" w:sz="0" w:space="0" w:color="auto"/>
        <w:right w:val="none" w:sz="0" w:space="0" w:color="auto"/>
      </w:divBdr>
    </w:div>
    <w:div w:id="690303387">
      <w:bodyDiv w:val="1"/>
      <w:marLeft w:val="0"/>
      <w:marRight w:val="0"/>
      <w:marTop w:val="0"/>
      <w:marBottom w:val="0"/>
      <w:divBdr>
        <w:top w:val="none" w:sz="0" w:space="0" w:color="auto"/>
        <w:left w:val="none" w:sz="0" w:space="0" w:color="auto"/>
        <w:bottom w:val="none" w:sz="0" w:space="0" w:color="auto"/>
        <w:right w:val="none" w:sz="0" w:space="0" w:color="auto"/>
      </w:divBdr>
    </w:div>
    <w:div w:id="715273817">
      <w:bodyDiv w:val="1"/>
      <w:marLeft w:val="0"/>
      <w:marRight w:val="0"/>
      <w:marTop w:val="0"/>
      <w:marBottom w:val="0"/>
      <w:divBdr>
        <w:top w:val="none" w:sz="0" w:space="0" w:color="auto"/>
        <w:left w:val="none" w:sz="0" w:space="0" w:color="auto"/>
        <w:bottom w:val="none" w:sz="0" w:space="0" w:color="auto"/>
        <w:right w:val="none" w:sz="0" w:space="0" w:color="auto"/>
      </w:divBdr>
    </w:div>
    <w:div w:id="715548251">
      <w:bodyDiv w:val="1"/>
      <w:marLeft w:val="0"/>
      <w:marRight w:val="0"/>
      <w:marTop w:val="0"/>
      <w:marBottom w:val="0"/>
      <w:divBdr>
        <w:top w:val="none" w:sz="0" w:space="0" w:color="auto"/>
        <w:left w:val="none" w:sz="0" w:space="0" w:color="auto"/>
        <w:bottom w:val="none" w:sz="0" w:space="0" w:color="auto"/>
        <w:right w:val="none" w:sz="0" w:space="0" w:color="auto"/>
      </w:divBdr>
    </w:div>
    <w:div w:id="716054831">
      <w:bodyDiv w:val="1"/>
      <w:marLeft w:val="0"/>
      <w:marRight w:val="0"/>
      <w:marTop w:val="0"/>
      <w:marBottom w:val="0"/>
      <w:divBdr>
        <w:top w:val="none" w:sz="0" w:space="0" w:color="auto"/>
        <w:left w:val="none" w:sz="0" w:space="0" w:color="auto"/>
        <w:bottom w:val="none" w:sz="0" w:space="0" w:color="auto"/>
        <w:right w:val="none" w:sz="0" w:space="0" w:color="auto"/>
      </w:divBdr>
    </w:div>
    <w:div w:id="719597453">
      <w:bodyDiv w:val="1"/>
      <w:marLeft w:val="0"/>
      <w:marRight w:val="0"/>
      <w:marTop w:val="0"/>
      <w:marBottom w:val="0"/>
      <w:divBdr>
        <w:top w:val="none" w:sz="0" w:space="0" w:color="auto"/>
        <w:left w:val="none" w:sz="0" w:space="0" w:color="auto"/>
        <w:bottom w:val="none" w:sz="0" w:space="0" w:color="auto"/>
        <w:right w:val="none" w:sz="0" w:space="0" w:color="auto"/>
      </w:divBdr>
    </w:div>
    <w:div w:id="722215534">
      <w:bodyDiv w:val="1"/>
      <w:marLeft w:val="0"/>
      <w:marRight w:val="0"/>
      <w:marTop w:val="0"/>
      <w:marBottom w:val="0"/>
      <w:divBdr>
        <w:top w:val="none" w:sz="0" w:space="0" w:color="auto"/>
        <w:left w:val="none" w:sz="0" w:space="0" w:color="auto"/>
        <w:bottom w:val="none" w:sz="0" w:space="0" w:color="auto"/>
        <w:right w:val="none" w:sz="0" w:space="0" w:color="auto"/>
      </w:divBdr>
    </w:div>
    <w:div w:id="728185255">
      <w:bodyDiv w:val="1"/>
      <w:marLeft w:val="0"/>
      <w:marRight w:val="0"/>
      <w:marTop w:val="0"/>
      <w:marBottom w:val="0"/>
      <w:divBdr>
        <w:top w:val="none" w:sz="0" w:space="0" w:color="auto"/>
        <w:left w:val="none" w:sz="0" w:space="0" w:color="auto"/>
        <w:bottom w:val="none" w:sz="0" w:space="0" w:color="auto"/>
        <w:right w:val="none" w:sz="0" w:space="0" w:color="auto"/>
      </w:divBdr>
    </w:div>
    <w:div w:id="733509655">
      <w:bodyDiv w:val="1"/>
      <w:marLeft w:val="0"/>
      <w:marRight w:val="0"/>
      <w:marTop w:val="0"/>
      <w:marBottom w:val="0"/>
      <w:divBdr>
        <w:top w:val="none" w:sz="0" w:space="0" w:color="auto"/>
        <w:left w:val="none" w:sz="0" w:space="0" w:color="auto"/>
        <w:bottom w:val="none" w:sz="0" w:space="0" w:color="auto"/>
        <w:right w:val="none" w:sz="0" w:space="0" w:color="auto"/>
      </w:divBdr>
    </w:div>
    <w:div w:id="734469826">
      <w:bodyDiv w:val="1"/>
      <w:marLeft w:val="0"/>
      <w:marRight w:val="0"/>
      <w:marTop w:val="0"/>
      <w:marBottom w:val="0"/>
      <w:divBdr>
        <w:top w:val="none" w:sz="0" w:space="0" w:color="auto"/>
        <w:left w:val="none" w:sz="0" w:space="0" w:color="auto"/>
        <w:bottom w:val="none" w:sz="0" w:space="0" w:color="auto"/>
        <w:right w:val="none" w:sz="0" w:space="0" w:color="auto"/>
      </w:divBdr>
    </w:div>
    <w:div w:id="735394769">
      <w:bodyDiv w:val="1"/>
      <w:marLeft w:val="0"/>
      <w:marRight w:val="0"/>
      <w:marTop w:val="0"/>
      <w:marBottom w:val="0"/>
      <w:divBdr>
        <w:top w:val="none" w:sz="0" w:space="0" w:color="auto"/>
        <w:left w:val="none" w:sz="0" w:space="0" w:color="auto"/>
        <w:bottom w:val="none" w:sz="0" w:space="0" w:color="auto"/>
        <w:right w:val="none" w:sz="0" w:space="0" w:color="auto"/>
      </w:divBdr>
    </w:div>
    <w:div w:id="737632672">
      <w:bodyDiv w:val="1"/>
      <w:marLeft w:val="0"/>
      <w:marRight w:val="0"/>
      <w:marTop w:val="0"/>
      <w:marBottom w:val="0"/>
      <w:divBdr>
        <w:top w:val="none" w:sz="0" w:space="0" w:color="auto"/>
        <w:left w:val="none" w:sz="0" w:space="0" w:color="auto"/>
        <w:bottom w:val="none" w:sz="0" w:space="0" w:color="auto"/>
        <w:right w:val="none" w:sz="0" w:space="0" w:color="auto"/>
      </w:divBdr>
    </w:div>
    <w:div w:id="740296528">
      <w:bodyDiv w:val="1"/>
      <w:marLeft w:val="0"/>
      <w:marRight w:val="0"/>
      <w:marTop w:val="0"/>
      <w:marBottom w:val="0"/>
      <w:divBdr>
        <w:top w:val="none" w:sz="0" w:space="0" w:color="auto"/>
        <w:left w:val="none" w:sz="0" w:space="0" w:color="auto"/>
        <w:bottom w:val="none" w:sz="0" w:space="0" w:color="auto"/>
        <w:right w:val="none" w:sz="0" w:space="0" w:color="auto"/>
      </w:divBdr>
    </w:div>
    <w:div w:id="748818111">
      <w:bodyDiv w:val="1"/>
      <w:marLeft w:val="0"/>
      <w:marRight w:val="0"/>
      <w:marTop w:val="0"/>
      <w:marBottom w:val="0"/>
      <w:divBdr>
        <w:top w:val="none" w:sz="0" w:space="0" w:color="auto"/>
        <w:left w:val="none" w:sz="0" w:space="0" w:color="auto"/>
        <w:bottom w:val="none" w:sz="0" w:space="0" w:color="auto"/>
        <w:right w:val="none" w:sz="0" w:space="0" w:color="auto"/>
      </w:divBdr>
    </w:div>
    <w:div w:id="750200816">
      <w:bodyDiv w:val="1"/>
      <w:marLeft w:val="0"/>
      <w:marRight w:val="0"/>
      <w:marTop w:val="0"/>
      <w:marBottom w:val="0"/>
      <w:divBdr>
        <w:top w:val="none" w:sz="0" w:space="0" w:color="auto"/>
        <w:left w:val="none" w:sz="0" w:space="0" w:color="auto"/>
        <w:bottom w:val="none" w:sz="0" w:space="0" w:color="auto"/>
        <w:right w:val="none" w:sz="0" w:space="0" w:color="auto"/>
      </w:divBdr>
    </w:div>
    <w:div w:id="753866353">
      <w:bodyDiv w:val="1"/>
      <w:marLeft w:val="0"/>
      <w:marRight w:val="0"/>
      <w:marTop w:val="0"/>
      <w:marBottom w:val="0"/>
      <w:divBdr>
        <w:top w:val="none" w:sz="0" w:space="0" w:color="auto"/>
        <w:left w:val="none" w:sz="0" w:space="0" w:color="auto"/>
        <w:bottom w:val="none" w:sz="0" w:space="0" w:color="auto"/>
        <w:right w:val="none" w:sz="0" w:space="0" w:color="auto"/>
      </w:divBdr>
    </w:div>
    <w:div w:id="759370059">
      <w:bodyDiv w:val="1"/>
      <w:marLeft w:val="0"/>
      <w:marRight w:val="0"/>
      <w:marTop w:val="0"/>
      <w:marBottom w:val="0"/>
      <w:divBdr>
        <w:top w:val="none" w:sz="0" w:space="0" w:color="auto"/>
        <w:left w:val="none" w:sz="0" w:space="0" w:color="auto"/>
        <w:bottom w:val="none" w:sz="0" w:space="0" w:color="auto"/>
        <w:right w:val="none" w:sz="0" w:space="0" w:color="auto"/>
      </w:divBdr>
    </w:div>
    <w:div w:id="767701008">
      <w:bodyDiv w:val="1"/>
      <w:marLeft w:val="0"/>
      <w:marRight w:val="0"/>
      <w:marTop w:val="0"/>
      <w:marBottom w:val="0"/>
      <w:divBdr>
        <w:top w:val="none" w:sz="0" w:space="0" w:color="auto"/>
        <w:left w:val="none" w:sz="0" w:space="0" w:color="auto"/>
        <w:bottom w:val="none" w:sz="0" w:space="0" w:color="auto"/>
        <w:right w:val="none" w:sz="0" w:space="0" w:color="auto"/>
      </w:divBdr>
    </w:div>
    <w:div w:id="768084632">
      <w:bodyDiv w:val="1"/>
      <w:marLeft w:val="0"/>
      <w:marRight w:val="0"/>
      <w:marTop w:val="0"/>
      <w:marBottom w:val="0"/>
      <w:divBdr>
        <w:top w:val="none" w:sz="0" w:space="0" w:color="auto"/>
        <w:left w:val="none" w:sz="0" w:space="0" w:color="auto"/>
        <w:bottom w:val="none" w:sz="0" w:space="0" w:color="auto"/>
        <w:right w:val="none" w:sz="0" w:space="0" w:color="auto"/>
      </w:divBdr>
    </w:div>
    <w:div w:id="778337262">
      <w:bodyDiv w:val="1"/>
      <w:marLeft w:val="0"/>
      <w:marRight w:val="0"/>
      <w:marTop w:val="0"/>
      <w:marBottom w:val="0"/>
      <w:divBdr>
        <w:top w:val="none" w:sz="0" w:space="0" w:color="auto"/>
        <w:left w:val="none" w:sz="0" w:space="0" w:color="auto"/>
        <w:bottom w:val="none" w:sz="0" w:space="0" w:color="auto"/>
        <w:right w:val="none" w:sz="0" w:space="0" w:color="auto"/>
      </w:divBdr>
    </w:div>
    <w:div w:id="786777725">
      <w:bodyDiv w:val="1"/>
      <w:marLeft w:val="0"/>
      <w:marRight w:val="0"/>
      <w:marTop w:val="0"/>
      <w:marBottom w:val="0"/>
      <w:divBdr>
        <w:top w:val="none" w:sz="0" w:space="0" w:color="auto"/>
        <w:left w:val="none" w:sz="0" w:space="0" w:color="auto"/>
        <w:bottom w:val="none" w:sz="0" w:space="0" w:color="auto"/>
        <w:right w:val="none" w:sz="0" w:space="0" w:color="auto"/>
      </w:divBdr>
    </w:div>
    <w:div w:id="793593650">
      <w:bodyDiv w:val="1"/>
      <w:marLeft w:val="0"/>
      <w:marRight w:val="0"/>
      <w:marTop w:val="0"/>
      <w:marBottom w:val="0"/>
      <w:divBdr>
        <w:top w:val="none" w:sz="0" w:space="0" w:color="auto"/>
        <w:left w:val="none" w:sz="0" w:space="0" w:color="auto"/>
        <w:bottom w:val="none" w:sz="0" w:space="0" w:color="auto"/>
        <w:right w:val="none" w:sz="0" w:space="0" w:color="auto"/>
      </w:divBdr>
    </w:div>
    <w:div w:id="804007287">
      <w:bodyDiv w:val="1"/>
      <w:marLeft w:val="0"/>
      <w:marRight w:val="0"/>
      <w:marTop w:val="0"/>
      <w:marBottom w:val="0"/>
      <w:divBdr>
        <w:top w:val="none" w:sz="0" w:space="0" w:color="auto"/>
        <w:left w:val="none" w:sz="0" w:space="0" w:color="auto"/>
        <w:bottom w:val="none" w:sz="0" w:space="0" w:color="auto"/>
        <w:right w:val="none" w:sz="0" w:space="0" w:color="auto"/>
      </w:divBdr>
    </w:div>
    <w:div w:id="808745928">
      <w:bodyDiv w:val="1"/>
      <w:marLeft w:val="0"/>
      <w:marRight w:val="0"/>
      <w:marTop w:val="0"/>
      <w:marBottom w:val="0"/>
      <w:divBdr>
        <w:top w:val="none" w:sz="0" w:space="0" w:color="auto"/>
        <w:left w:val="none" w:sz="0" w:space="0" w:color="auto"/>
        <w:bottom w:val="none" w:sz="0" w:space="0" w:color="auto"/>
        <w:right w:val="none" w:sz="0" w:space="0" w:color="auto"/>
      </w:divBdr>
    </w:div>
    <w:div w:id="810559127">
      <w:bodyDiv w:val="1"/>
      <w:marLeft w:val="0"/>
      <w:marRight w:val="0"/>
      <w:marTop w:val="0"/>
      <w:marBottom w:val="0"/>
      <w:divBdr>
        <w:top w:val="none" w:sz="0" w:space="0" w:color="auto"/>
        <w:left w:val="none" w:sz="0" w:space="0" w:color="auto"/>
        <w:bottom w:val="none" w:sz="0" w:space="0" w:color="auto"/>
        <w:right w:val="none" w:sz="0" w:space="0" w:color="auto"/>
      </w:divBdr>
    </w:div>
    <w:div w:id="818767355">
      <w:bodyDiv w:val="1"/>
      <w:marLeft w:val="0"/>
      <w:marRight w:val="0"/>
      <w:marTop w:val="0"/>
      <w:marBottom w:val="0"/>
      <w:divBdr>
        <w:top w:val="none" w:sz="0" w:space="0" w:color="auto"/>
        <w:left w:val="none" w:sz="0" w:space="0" w:color="auto"/>
        <w:bottom w:val="none" w:sz="0" w:space="0" w:color="auto"/>
        <w:right w:val="none" w:sz="0" w:space="0" w:color="auto"/>
      </w:divBdr>
    </w:div>
    <w:div w:id="820272394">
      <w:bodyDiv w:val="1"/>
      <w:marLeft w:val="0"/>
      <w:marRight w:val="0"/>
      <w:marTop w:val="0"/>
      <w:marBottom w:val="0"/>
      <w:divBdr>
        <w:top w:val="none" w:sz="0" w:space="0" w:color="auto"/>
        <w:left w:val="none" w:sz="0" w:space="0" w:color="auto"/>
        <w:bottom w:val="none" w:sz="0" w:space="0" w:color="auto"/>
        <w:right w:val="none" w:sz="0" w:space="0" w:color="auto"/>
      </w:divBdr>
    </w:div>
    <w:div w:id="820535962">
      <w:bodyDiv w:val="1"/>
      <w:marLeft w:val="0"/>
      <w:marRight w:val="0"/>
      <w:marTop w:val="0"/>
      <w:marBottom w:val="0"/>
      <w:divBdr>
        <w:top w:val="none" w:sz="0" w:space="0" w:color="auto"/>
        <w:left w:val="none" w:sz="0" w:space="0" w:color="auto"/>
        <w:bottom w:val="none" w:sz="0" w:space="0" w:color="auto"/>
        <w:right w:val="none" w:sz="0" w:space="0" w:color="auto"/>
      </w:divBdr>
    </w:div>
    <w:div w:id="828836446">
      <w:bodyDiv w:val="1"/>
      <w:marLeft w:val="0"/>
      <w:marRight w:val="0"/>
      <w:marTop w:val="0"/>
      <w:marBottom w:val="0"/>
      <w:divBdr>
        <w:top w:val="none" w:sz="0" w:space="0" w:color="auto"/>
        <w:left w:val="none" w:sz="0" w:space="0" w:color="auto"/>
        <w:bottom w:val="none" w:sz="0" w:space="0" w:color="auto"/>
        <w:right w:val="none" w:sz="0" w:space="0" w:color="auto"/>
      </w:divBdr>
    </w:div>
    <w:div w:id="829753954">
      <w:bodyDiv w:val="1"/>
      <w:marLeft w:val="0"/>
      <w:marRight w:val="0"/>
      <w:marTop w:val="0"/>
      <w:marBottom w:val="0"/>
      <w:divBdr>
        <w:top w:val="none" w:sz="0" w:space="0" w:color="auto"/>
        <w:left w:val="none" w:sz="0" w:space="0" w:color="auto"/>
        <w:bottom w:val="none" w:sz="0" w:space="0" w:color="auto"/>
        <w:right w:val="none" w:sz="0" w:space="0" w:color="auto"/>
      </w:divBdr>
    </w:div>
    <w:div w:id="831676865">
      <w:bodyDiv w:val="1"/>
      <w:marLeft w:val="0"/>
      <w:marRight w:val="0"/>
      <w:marTop w:val="0"/>
      <w:marBottom w:val="0"/>
      <w:divBdr>
        <w:top w:val="none" w:sz="0" w:space="0" w:color="auto"/>
        <w:left w:val="none" w:sz="0" w:space="0" w:color="auto"/>
        <w:bottom w:val="none" w:sz="0" w:space="0" w:color="auto"/>
        <w:right w:val="none" w:sz="0" w:space="0" w:color="auto"/>
      </w:divBdr>
    </w:div>
    <w:div w:id="836117368">
      <w:bodyDiv w:val="1"/>
      <w:marLeft w:val="0"/>
      <w:marRight w:val="0"/>
      <w:marTop w:val="0"/>
      <w:marBottom w:val="0"/>
      <w:divBdr>
        <w:top w:val="none" w:sz="0" w:space="0" w:color="auto"/>
        <w:left w:val="none" w:sz="0" w:space="0" w:color="auto"/>
        <w:bottom w:val="none" w:sz="0" w:space="0" w:color="auto"/>
        <w:right w:val="none" w:sz="0" w:space="0" w:color="auto"/>
      </w:divBdr>
    </w:div>
    <w:div w:id="838078038">
      <w:bodyDiv w:val="1"/>
      <w:marLeft w:val="0"/>
      <w:marRight w:val="0"/>
      <w:marTop w:val="0"/>
      <w:marBottom w:val="0"/>
      <w:divBdr>
        <w:top w:val="none" w:sz="0" w:space="0" w:color="auto"/>
        <w:left w:val="none" w:sz="0" w:space="0" w:color="auto"/>
        <w:bottom w:val="none" w:sz="0" w:space="0" w:color="auto"/>
        <w:right w:val="none" w:sz="0" w:space="0" w:color="auto"/>
      </w:divBdr>
    </w:div>
    <w:div w:id="838497165">
      <w:bodyDiv w:val="1"/>
      <w:marLeft w:val="0"/>
      <w:marRight w:val="0"/>
      <w:marTop w:val="0"/>
      <w:marBottom w:val="0"/>
      <w:divBdr>
        <w:top w:val="none" w:sz="0" w:space="0" w:color="auto"/>
        <w:left w:val="none" w:sz="0" w:space="0" w:color="auto"/>
        <w:bottom w:val="none" w:sz="0" w:space="0" w:color="auto"/>
        <w:right w:val="none" w:sz="0" w:space="0" w:color="auto"/>
      </w:divBdr>
    </w:div>
    <w:div w:id="839348535">
      <w:bodyDiv w:val="1"/>
      <w:marLeft w:val="0"/>
      <w:marRight w:val="0"/>
      <w:marTop w:val="0"/>
      <w:marBottom w:val="0"/>
      <w:divBdr>
        <w:top w:val="none" w:sz="0" w:space="0" w:color="auto"/>
        <w:left w:val="none" w:sz="0" w:space="0" w:color="auto"/>
        <w:bottom w:val="none" w:sz="0" w:space="0" w:color="auto"/>
        <w:right w:val="none" w:sz="0" w:space="0" w:color="auto"/>
      </w:divBdr>
    </w:div>
    <w:div w:id="840464025">
      <w:bodyDiv w:val="1"/>
      <w:marLeft w:val="0"/>
      <w:marRight w:val="0"/>
      <w:marTop w:val="0"/>
      <w:marBottom w:val="0"/>
      <w:divBdr>
        <w:top w:val="none" w:sz="0" w:space="0" w:color="auto"/>
        <w:left w:val="none" w:sz="0" w:space="0" w:color="auto"/>
        <w:bottom w:val="none" w:sz="0" w:space="0" w:color="auto"/>
        <w:right w:val="none" w:sz="0" w:space="0" w:color="auto"/>
      </w:divBdr>
    </w:div>
    <w:div w:id="843857548">
      <w:bodyDiv w:val="1"/>
      <w:marLeft w:val="0"/>
      <w:marRight w:val="0"/>
      <w:marTop w:val="0"/>
      <w:marBottom w:val="0"/>
      <w:divBdr>
        <w:top w:val="none" w:sz="0" w:space="0" w:color="auto"/>
        <w:left w:val="none" w:sz="0" w:space="0" w:color="auto"/>
        <w:bottom w:val="none" w:sz="0" w:space="0" w:color="auto"/>
        <w:right w:val="none" w:sz="0" w:space="0" w:color="auto"/>
      </w:divBdr>
    </w:div>
    <w:div w:id="848520636">
      <w:bodyDiv w:val="1"/>
      <w:marLeft w:val="0"/>
      <w:marRight w:val="0"/>
      <w:marTop w:val="0"/>
      <w:marBottom w:val="0"/>
      <w:divBdr>
        <w:top w:val="none" w:sz="0" w:space="0" w:color="auto"/>
        <w:left w:val="none" w:sz="0" w:space="0" w:color="auto"/>
        <w:bottom w:val="none" w:sz="0" w:space="0" w:color="auto"/>
        <w:right w:val="none" w:sz="0" w:space="0" w:color="auto"/>
      </w:divBdr>
    </w:div>
    <w:div w:id="848638866">
      <w:bodyDiv w:val="1"/>
      <w:marLeft w:val="0"/>
      <w:marRight w:val="0"/>
      <w:marTop w:val="0"/>
      <w:marBottom w:val="0"/>
      <w:divBdr>
        <w:top w:val="none" w:sz="0" w:space="0" w:color="auto"/>
        <w:left w:val="none" w:sz="0" w:space="0" w:color="auto"/>
        <w:bottom w:val="none" w:sz="0" w:space="0" w:color="auto"/>
        <w:right w:val="none" w:sz="0" w:space="0" w:color="auto"/>
      </w:divBdr>
    </w:div>
    <w:div w:id="848909204">
      <w:bodyDiv w:val="1"/>
      <w:marLeft w:val="0"/>
      <w:marRight w:val="0"/>
      <w:marTop w:val="0"/>
      <w:marBottom w:val="0"/>
      <w:divBdr>
        <w:top w:val="none" w:sz="0" w:space="0" w:color="auto"/>
        <w:left w:val="none" w:sz="0" w:space="0" w:color="auto"/>
        <w:bottom w:val="none" w:sz="0" w:space="0" w:color="auto"/>
        <w:right w:val="none" w:sz="0" w:space="0" w:color="auto"/>
      </w:divBdr>
    </w:div>
    <w:div w:id="850264815">
      <w:bodyDiv w:val="1"/>
      <w:marLeft w:val="0"/>
      <w:marRight w:val="0"/>
      <w:marTop w:val="0"/>
      <w:marBottom w:val="0"/>
      <w:divBdr>
        <w:top w:val="none" w:sz="0" w:space="0" w:color="auto"/>
        <w:left w:val="none" w:sz="0" w:space="0" w:color="auto"/>
        <w:bottom w:val="none" w:sz="0" w:space="0" w:color="auto"/>
        <w:right w:val="none" w:sz="0" w:space="0" w:color="auto"/>
      </w:divBdr>
    </w:div>
    <w:div w:id="851603361">
      <w:bodyDiv w:val="1"/>
      <w:marLeft w:val="0"/>
      <w:marRight w:val="0"/>
      <w:marTop w:val="0"/>
      <w:marBottom w:val="0"/>
      <w:divBdr>
        <w:top w:val="none" w:sz="0" w:space="0" w:color="auto"/>
        <w:left w:val="none" w:sz="0" w:space="0" w:color="auto"/>
        <w:bottom w:val="none" w:sz="0" w:space="0" w:color="auto"/>
        <w:right w:val="none" w:sz="0" w:space="0" w:color="auto"/>
      </w:divBdr>
    </w:div>
    <w:div w:id="853224843">
      <w:bodyDiv w:val="1"/>
      <w:marLeft w:val="0"/>
      <w:marRight w:val="0"/>
      <w:marTop w:val="0"/>
      <w:marBottom w:val="0"/>
      <w:divBdr>
        <w:top w:val="none" w:sz="0" w:space="0" w:color="auto"/>
        <w:left w:val="none" w:sz="0" w:space="0" w:color="auto"/>
        <w:bottom w:val="none" w:sz="0" w:space="0" w:color="auto"/>
        <w:right w:val="none" w:sz="0" w:space="0" w:color="auto"/>
      </w:divBdr>
    </w:div>
    <w:div w:id="853376665">
      <w:bodyDiv w:val="1"/>
      <w:marLeft w:val="0"/>
      <w:marRight w:val="0"/>
      <w:marTop w:val="0"/>
      <w:marBottom w:val="0"/>
      <w:divBdr>
        <w:top w:val="none" w:sz="0" w:space="0" w:color="auto"/>
        <w:left w:val="none" w:sz="0" w:space="0" w:color="auto"/>
        <w:bottom w:val="none" w:sz="0" w:space="0" w:color="auto"/>
        <w:right w:val="none" w:sz="0" w:space="0" w:color="auto"/>
      </w:divBdr>
    </w:div>
    <w:div w:id="854342764">
      <w:bodyDiv w:val="1"/>
      <w:marLeft w:val="0"/>
      <w:marRight w:val="0"/>
      <w:marTop w:val="0"/>
      <w:marBottom w:val="0"/>
      <w:divBdr>
        <w:top w:val="none" w:sz="0" w:space="0" w:color="auto"/>
        <w:left w:val="none" w:sz="0" w:space="0" w:color="auto"/>
        <w:bottom w:val="none" w:sz="0" w:space="0" w:color="auto"/>
        <w:right w:val="none" w:sz="0" w:space="0" w:color="auto"/>
      </w:divBdr>
    </w:div>
    <w:div w:id="860363985">
      <w:bodyDiv w:val="1"/>
      <w:marLeft w:val="0"/>
      <w:marRight w:val="0"/>
      <w:marTop w:val="0"/>
      <w:marBottom w:val="0"/>
      <w:divBdr>
        <w:top w:val="none" w:sz="0" w:space="0" w:color="auto"/>
        <w:left w:val="none" w:sz="0" w:space="0" w:color="auto"/>
        <w:bottom w:val="none" w:sz="0" w:space="0" w:color="auto"/>
        <w:right w:val="none" w:sz="0" w:space="0" w:color="auto"/>
      </w:divBdr>
    </w:div>
    <w:div w:id="863708267">
      <w:bodyDiv w:val="1"/>
      <w:marLeft w:val="0"/>
      <w:marRight w:val="0"/>
      <w:marTop w:val="0"/>
      <w:marBottom w:val="0"/>
      <w:divBdr>
        <w:top w:val="none" w:sz="0" w:space="0" w:color="auto"/>
        <w:left w:val="none" w:sz="0" w:space="0" w:color="auto"/>
        <w:bottom w:val="none" w:sz="0" w:space="0" w:color="auto"/>
        <w:right w:val="none" w:sz="0" w:space="0" w:color="auto"/>
      </w:divBdr>
    </w:div>
    <w:div w:id="867986914">
      <w:bodyDiv w:val="1"/>
      <w:marLeft w:val="0"/>
      <w:marRight w:val="0"/>
      <w:marTop w:val="0"/>
      <w:marBottom w:val="0"/>
      <w:divBdr>
        <w:top w:val="none" w:sz="0" w:space="0" w:color="auto"/>
        <w:left w:val="none" w:sz="0" w:space="0" w:color="auto"/>
        <w:bottom w:val="none" w:sz="0" w:space="0" w:color="auto"/>
        <w:right w:val="none" w:sz="0" w:space="0" w:color="auto"/>
      </w:divBdr>
    </w:div>
    <w:div w:id="870387483">
      <w:bodyDiv w:val="1"/>
      <w:marLeft w:val="0"/>
      <w:marRight w:val="0"/>
      <w:marTop w:val="0"/>
      <w:marBottom w:val="0"/>
      <w:divBdr>
        <w:top w:val="none" w:sz="0" w:space="0" w:color="auto"/>
        <w:left w:val="none" w:sz="0" w:space="0" w:color="auto"/>
        <w:bottom w:val="none" w:sz="0" w:space="0" w:color="auto"/>
        <w:right w:val="none" w:sz="0" w:space="0" w:color="auto"/>
      </w:divBdr>
    </w:div>
    <w:div w:id="871187887">
      <w:bodyDiv w:val="1"/>
      <w:marLeft w:val="0"/>
      <w:marRight w:val="0"/>
      <w:marTop w:val="0"/>
      <w:marBottom w:val="0"/>
      <w:divBdr>
        <w:top w:val="none" w:sz="0" w:space="0" w:color="auto"/>
        <w:left w:val="none" w:sz="0" w:space="0" w:color="auto"/>
        <w:bottom w:val="none" w:sz="0" w:space="0" w:color="auto"/>
        <w:right w:val="none" w:sz="0" w:space="0" w:color="auto"/>
      </w:divBdr>
    </w:div>
    <w:div w:id="881745354">
      <w:bodyDiv w:val="1"/>
      <w:marLeft w:val="0"/>
      <w:marRight w:val="0"/>
      <w:marTop w:val="0"/>
      <w:marBottom w:val="0"/>
      <w:divBdr>
        <w:top w:val="none" w:sz="0" w:space="0" w:color="auto"/>
        <w:left w:val="none" w:sz="0" w:space="0" w:color="auto"/>
        <w:bottom w:val="none" w:sz="0" w:space="0" w:color="auto"/>
        <w:right w:val="none" w:sz="0" w:space="0" w:color="auto"/>
      </w:divBdr>
    </w:div>
    <w:div w:id="882449438">
      <w:bodyDiv w:val="1"/>
      <w:marLeft w:val="0"/>
      <w:marRight w:val="0"/>
      <w:marTop w:val="0"/>
      <w:marBottom w:val="0"/>
      <w:divBdr>
        <w:top w:val="none" w:sz="0" w:space="0" w:color="auto"/>
        <w:left w:val="none" w:sz="0" w:space="0" w:color="auto"/>
        <w:bottom w:val="none" w:sz="0" w:space="0" w:color="auto"/>
        <w:right w:val="none" w:sz="0" w:space="0" w:color="auto"/>
      </w:divBdr>
    </w:div>
    <w:div w:id="882595949">
      <w:bodyDiv w:val="1"/>
      <w:marLeft w:val="0"/>
      <w:marRight w:val="0"/>
      <w:marTop w:val="0"/>
      <w:marBottom w:val="0"/>
      <w:divBdr>
        <w:top w:val="none" w:sz="0" w:space="0" w:color="auto"/>
        <w:left w:val="none" w:sz="0" w:space="0" w:color="auto"/>
        <w:bottom w:val="none" w:sz="0" w:space="0" w:color="auto"/>
        <w:right w:val="none" w:sz="0" w:space="0" w:color="auto"/>
      </w:divBdr>
    </w:div>
    <w:div w:id="891380496">
      <w:bodyDiv w:val="1"/>
      <w:marLeft w:val="0"/>
      <w:marRight w:val="0"/>
      <w:marTop w:val="0"/>
      <w:marBottom w:val="0"/>
      <w:divBdr>
        <w:top w:val="none" w:sz="0" w:space="0" w:color="auto"/>
        <w:left w:val="none" w:sz="0" w:space="0" w:color="auto"/>
        <w:bottom w:val="none" w:sz="0" w:space="0" w:color="auto"/>
        <w:right w:val="none" w:sz="0" w:space="0" w:color="auto"/>
      </w:divBdr>
    </w:div>
    <w:div w:id="891649536">
      <w:bodyDiv w:val="1"/>
      <w:marLeft w:val="0"/>
      <w:marRight w:val="0"/>
      <w:marTop w:val="0"/>
      <w:marBottom w:val="0"/>
      <w:divBdr>
        <w:top w:val="none" w:sz="0" w:space="0" w:color="auto"/>
        <w:left w:val="none" w:sz="0" w:space="0" w:color="auto"/>
        <w:bottom w:val="none" w:sz="0" w:space="0" w:color="auto"/>
        <w:right w:val="none" w:sz="0" w:space="0" w:color="auto"/>
      </w:divBdr>
    </w:div>
    <w:div w:id="894780822">
      <w:bodyDiv w:val="1"/>
      <w:marLeft w:val="0"/>
      <w:marRight w:val="0"/>
      <w:marTop w:val="0"/>
      <w:marBottom w:val="0"/>
      <w:divBdr>
        <w:top w:val="none" w:sz="0" w:space="0" w:color="auto"/>
        <w:left w:val="none" w:sz="0" w:space="0" w:color="auto"/>
        <w:bottom w:val="none" w:sz="0" w:space="0" w:color="auto"/>
        <w:right w:val="none" w:sz="0" w:space="0" w:color="auto"/>
      </w:divBdr>
    </w:div>
    <w:div w:id="904023919">
      <w:bodyDiv w:val="1"/>
      <w:marLeft w:val="0"/>
      <w:marRight w:val="0"/>
      <w:marTop w:val="0"/>
      <w:marBottom w:val="0"/>
      <w:divBdr>
        <w:top w:val="none" w:sz="0" w:space="0" w:color="auto"/>
        <w:left w:val="none" w:sz="0" w:space="0" w:color="auto"/>
        <w:bottom w:val="none" w:sz="0" w:space="0" w:color="auto"/>
        <w:right w:val="none" w:sz="0" w:space="0" w:color="auto"/>
      </w:divBdr>
    </w:div>
    <w:div w:id="904485007">
      <w:bodyDiv w:val="1"/>
      <w:marLeft w:val="0"/>
      <w:marRight w:val="0"/>
      <w:marTop w:val="0"/>
      <w:marBottom w:val="0"/>
      <w:divBdr>
        <w:top w:val="none" w:sz="0" w:space="0" w:color="auto"/>
        <w:left w:val="none" w:sz="0" w:space="0" w:color="auto"/>
        <w:bottom w:val="none" w:sz="0" w:space="0" w:color="auto"/>
        <w:right w:val="none" w:sz="0" w:space="0" w:color="auto"/>
      </w:divBdr>
    </w:div>
    <w:div w:id="905339744">
      <w:bodyDiv w:val="1"/>
      <w:marLeft w:val="0"/>
      <w:marRight w:val="0"/>
      <w:marTop w:val="0"/>
      <w:marBottom w:val="0"/>
      <w:divBdr>
        <w:top w:val="none" w:sz="0" w:space="0" w:color="auto"/>
        <w:left w:val="none" w:sz="0" w:space="0" w:color="auto"/>
        <w:bottom w:val="none" w:sz="0" w:space="0" w:color="auto"/>
        <w:right w:val="none" w:sz="0" w:space="0" w:color="auto"/>
      </w:divBdr>
    </w:div>
    <w:div w:id="905922210">
      <w:bodyDiv w:val="1"/>
      <w:marLeft w:val="0"/>
      <w:marRight w:val="0"/>
      <w:marTop w:val="0"/>
      <w:marBottom w:val="0"/>
      <w:divBdr>
        <w:top w:val="none" w:sz="0" w:space="0" w:color="auto"/>
        <w:left w:val="none" w:sz="0" w:space="0" w:color="auto"/>
        <w:bottom w:val="none" w:sz="0" w:space="0" w:color="auto"/>
        <w:right w:val="none" w:sz="0" w:space="0" w:color="auto"/>
      </w:divBdr>
    </w:div>
    <w:div w:id="909775113">
      <w:bodyDiv w:val="1"/>
      <w:marLeft w:val="0"/>
      <w:marRight w:val="0"/>
      <w:marTop w:val="0"/>
      <w:marBottom w:val="0"/>
      <w:divBdr>
        <w:top w:val="none" w:sz="0" w:space="0" w:color="auto"/>
        <w:left w:val="none" w:sz="0" w:space="0" w:color="auto"/>
        <w:bottom w:val="none" w:sz="0" w:space="0" w:color="auto"/>
        <w:right w:val="none" w:sz="0" w:space="0" w:color="auto"/>
      </w:divBdr>
    </w:div>
    <w:div w:id="910233017">
      <w:bodyDiv w:val="1"/>
      <w:marLeft w:val="0"/>
      <w:marRight w:val="0"/>
      <w:marTop w:val="0"/>
      <w:marBottom w:val="0"/>
      <w:divBdr>
        <w:top w:val="none" w:sz="0" w:space="0" w:color="auto"/>
        <w:left w:val="none" w:sz="0" w:space="0" w:color="auto"/>
        <w:bottom w:val="none" w:sz="0" w:space="0" w:color="auto"/>
        <w:right w:val="none" w:sz="0" w:space="0" w:color="auto"/>
      </w:divBdr>
    </w:div>
    <w:div w:id="912474577">
      <w:bodyDiv w:val="1"/>
      <w:marLeft w:val="0"/>
      <w:marRight w:val="0"/>
      <w:marTop w:val="0"/>
      <w:marBottom w:val="0"/>
      <w:divBdr>
        <w:top w:val="none" w:sz="0" w:space="0" w:color="auto"/>
        <w:left w:val="none" w:sz="0" w:space="0" w:color="auto"/>
        <w:bottom w:val="none" w:sz="0" w:space="0" w:color="auto"/>
        <w:right w:val="none" w:sz="0" w:space="0" w:color="auto"/>
      </w:divBdr>
    </w:div>
    <w:div w:id="916283936">
      <w:bodyDiv w:val="1"/>
      <w:marLeft w:val="0"/>
      <w:marRight w:val="0"/>
      <w:marTop w:val="0"/>
      <w:marBottom w:val="0"/>
      <w:divBdr>
        <w:top w:val="none" w:sz="0" w:space="0" w:color="auto"/>
        <w:left w:val="none" w:sz="0" w:space="0" w:color="auto"/>
        <w:bottom w:val="none" w:sz="0" w:space="0" w:color="auto"/>
        <w:right w:val="none" w:sz="0" w:space="0" w:color="auto"/>
      </w:divBdr>
    </w:div>
    <w:div w:id="916749019">
      <w:bodyDiv w:val="1"/>
      <w:marLeft w:val="0"/>
      <w:marRight w:val="0"/>
      <w:marTop w:val="0"/>
      <w:marBottom w:val="0"/>
      <w:divBdr>
        <w:top w:val="none" w:sz="0" w:space="0" w:color="auto"/>
        <w:left w:val="none" w:sz="0" w:space="0" w:color="auto"/>
        <w:bottom w:val="none" w:sz="0" w:space="0" w:color="auto"/>
        <w:right w:val="none" w:sz="0" w:space="0" w:color="auto"/>
      </w:divBdr>
    </w:div>
    <w:div w:id="917599291">
      <w:bodyDiv w:val="1"/>
      <w:marLeft w:val="0"/>
      <w:marRight w:val="0"/>
      <w:marTop w:val="0"/>
      <w:marBottom w:val="0"/>
      <w:divBdr>
        <w:top w:val="none" w:sz="0" w:space="0" w:color="auto"/>
        <w:left w:val="none" w:sz="0" w:space="0" w:color="auto"/>
        <w:bottom w:val="none" w:sz="0" w:space="0" w:color="auto"/>
        <w:right w:val="none" w:sz="0" w:space="0" w:color="auto"/>
      </w:divBdr>
    </w:div>
    <w:div w:id="926111415">
      <w:bodyDiv w:val="1"/>
      <w:marLeft w:val="0"/>
      <w:marRight w:val="0"/>
      <w:marTop w:val="0"/>
      <w:marBottom w:val="0"/>
      <w:divBdr>
        <w:top w:val="none" w:sz="0" w:space="0" w:color="auto"/>
        <w:left w:val="none" w:sz="0" w:space="0" w:color="auto"/>
        <w:bottom w:val="none" w:sz="0" w:space="0" w:color="auto"/>
        <w:right w:val="none" w:sz="0" w:space="0" w:color="auto"/>
      </w:divBdr>
    </w:div>
    <w:div w:id="926810926">
      <w:bodyDiv w:val="1"/>
      <w:marLeft w:val="0"/>
      <w:marRight w:val="0"/>
      <w:marTop w:val="0"/>
      <w:marBottom w:val="0"/>
      <w:divBdr>
        <w:top w:val="none" w:sz="0" w:space="0" w:color="auto"/>
        <w:left w:val="none" w:sz="0" w:space="0" w:color="auto"/>
        <w:bottom w:val="none" w:sz="0" w:space="0" w:color="auto"/>
        <w:right w:val="none" w:sz="0" w:space="0" w:color="auto"/>
      </w:divBdr>
    </w:div>
    <w:div w:id="928732982">
      <w:bodyDiv w:val="1"/>
      <w:marLeft w:val="0"/>
      <w:marRight w:val="0"/>
      <w:marTop w:val="0"/>
      <w:marBottom w:val="0"/>
      <w:divBdr>
        <w:top w:val="none" w:sz="0" w:space="0" w:color="auto"/>
        <w:left w:val="none" w:sz="0" w:space="0" w:color="auto"/>
        <w:bottom w:val="none" w:sz="0" w:space="0" w:color="auto"/>
        <w:right w:val="none" w:sz="0" w:space="0" w:color="auto"/>
      </w:divBdr>
    </w:div>
    <w:div w:id="930703216">
      <w:bodyDiv w:val="1"/>
      <w:marLeft w:val="0"/>
      <w:marRight w:val="0"/>
      <w:marTop w:val="0"/>
      <w:marBottom w:val="0"/>
      <w:divBdr>
        <w:top w:val="none" w:sz="0" w:space="0" w:color="auto"/>
        <w:left w:val="none" w:sz="0" w:space="0" w:color="auto"/>
        <w:bottom w:val="none" w:sz="0" w:space="0" w:color="auto"/>
        <w:right w:val="none" w:sz="0" w:space="0" w:color="auto"/>
      </w:divBdr>
    </w:div>
    <w:div w:id="934871697">
      <w:bodyDiv w:val="1"/>
      <w:marLeft w:val="0"/>
      <w:marRight w:val="0"/>
      <w:marTop w:val="0"/>
      <w:marBottom w:val="0"/>
      <w:divBdr>
        <w:top w:val="none" w:sz="0" w:space="0" w:color="auto"/>
        <w:left w:val="none" w:sz="0" w:space="0" w:color="auto"/>
        <w:bottom w:val="none" w:sz="0" w:space="0" w:color="auto"/>
        <w:right w:val="none" w:sz="0" w:space="0" w:color="auto"/>
      </w:divBdr>
    </w:div>
    <w:div w:id="936595388">
      <w:bodyDiv w:val="1"/>
      <w:marLeft w:val="0"/>
      <w:marRight w:val="0"/>
      <w:marTop w:val="0"/>
      <w:marBottom w:val="0"/>
      <w:divBdr>
        <w:top w:val="none" w:sz="0" w:space="0" w:color="auto"/>
        <w:left w:val="none" w:sz="0" w:space="0" w:color="auto"/>
        <w:bottom w:val="none" w:sz="0" w:space="0" w:color="auto"/>
        <w:right w:val="none" w:sz="0" w:space="0" w:color="auto"/>
      </w:divBdr>
    </w:div>
    <w:div w:id="936596762">
      <w:bodyDiv w:val="1"/>
      <w:marLeft w:val="0"/>
      <w:marRight w:val="0"/>
      <w:marTop w:val="0"/>
      <w:marBottom w:val="0"/>
      <w:divBdr>
        <w:top w:val="none" w:sz="0" w:space="0" w:color="auto"/>
        <w:left w:val="none" w:sz="0" w:space="0" w:color="auto"/>
        <w:bottom w:val="none" w:sz="0" w:space="0" w:color="auto"/>
        <w:right w:val="none" w:sz="0" w:space="0" w:color="auto"/>
      </w:divBdr>
    </w:div>
    <w:div w:id="941691867">
      <w:bodyDiv w:val="1"/>
      <w:marLeft w:val="0"/>
      <w:marRight w:val="0"/>
      <w:marTop w:val="0"/>
      <w:marBottom w:val="0"/>
      <w:divBdr>
        <w:top w:val="none" w:sz="0" w:space="0" w:color="auto"/>
        <w:left w:val="none" w:sz="0" w:space="0" w:color="auto"/>
        <w:bottom w:val="none" w:sz="0" w:space="0" w:color="auto"/>
        <w:right w:val="none" w:sz="0" w:space="0" w:color="auto"/>
      </w:divBdr>
    </w:div>
    <w:div w:id="948512362">
      <w:bodyDiv w:val="1"/>
      <w:marLeft w:val="0"/>
      <w:marRight w:val="0"/>
      <w:marTop w:val="0"/>
      <w:marBottom w:val="0"/>
      <w:divBdr>
        <w:top w:val="none" w:sz="0" w:space="0" w:color="auto"/>
        <w:left w:val="none" w:sz="0" w:space="0" w:color="auto"/>
        <w:bottom w:val="none" w:sz="0" w:space="0" w:color="auto"/>
        <w:right w:val="none" w:sz="0" w:space="0" w:color="auto"/>
      </w:divBdr>
    </w:div>
    <w:div w:id="948663706">
      <w:bodyDiv w:val="1"/>
      <w:marLeft w:val="0"/>
      <w:marRight w:val="0"/>
      <w:marTop w:val="0"/>
      <w:marBottom w:val="0"/>
      <w:divBdr>
        <w:top w:val="none" w:sz="0" w:space="0" w:color="auto"/>
        <w:left w:val="none" w:sz="0" w:space="0" w:color="auto"/>
        <w:bottom w:val="none" w:sz="0" w:space="0" w:color="auto"/>
        <w:right w:val="none" w:sz="0" w:space="0" w:color="auto"/>
      </w:divBdr>
    </w:div>
    <w:div w:id="957224256">
      <w:bodyDiv w:val="1"/>
      <w:marLeft w:val="0"/>
      <w:marRight w:val="0"/>
      <w:marTop w:val="0"/>
      <w:marBottom w:val="0"/>
      <w:divBdr>
        <w:top w:val="none" w:sz="0" w:space="0" w:color="auto"/>
        <w:left w:val="none" w:sz="0" w:space="0" w:color="auto"/>
        <w:bottom w:val="none" w:sz="0" w:space="0" w:color="auto"/>
        <w:right w:val="none" w:sz="0" w:space="0" w:color="auto"/>
      </w:divBdr>
    </w:div>
    <w:div w:id="968320253">
      <w:bodyDiv w:val="1"/>
      <w:marLeft w:val="0"/>
      <w:marRight w:val="0"/>
      <w:marTop w:val="0"/>
      <w:marBottom w:val="0"/>
      <w:divBdr>
        <w:top w:val="none" w:sz="0" w:space="0" w:color="auto"/>
        <w:left w:val="none" w:sz="0" w:space="0" w:color="auto"/>
        <w:bottom w:val="none" w:sz="0" w:space="0" w:color="auto"/>
        <w:right w:val="none" w:sz="0" w:space="0" w:color="auto"/>
      </w:divBdr>
    </w:div>
    <w:div w:id="972756197">
      <w:bodyDiv w:val="1"/>
      <w:marLeft w:val="0"/>
      <w:marRight w:val="0"/>
      <w:marTop w:val="0"/>
      <w:marBottom w:val="0"/>
      <w:divBdr>
        <w:top w:val="none" w:sz="0" w:space="0" w:color="auto"/>
        <w:left w:val="none" w:sz="0" w:space="0" w:color="auto"/>
        <w:bottom w:val="none" w:sz="0" w:space="0" w:color="auto"/>
        <w:right w:val="none" w:sz="0" w:space="0" w:color="auto"/>
      </w:divBdr>
    </w:div>
    <w:div w:id="974027912">
      <w:bodyDiv w:val="1"/>
      <w:marLeft w:val="0"/>
      <w:marRight w:val="0"/>
      <w:marTop w:val="0"/>
      <w:marBottom w:val="0"/>
      <w:divBdr>
        <w:top w:val="none" w:sz="0" w:space="0" w:color="auto"/>
        <w:left w:val="none" w:sz="0" w:space="0" w:color="auto"/>
        <w:bottom w:val="none" w:sz="0" w:space="0" w:color="auto"/>
        <w:right w:val="none" w:sz="0" w:space="0" w:color="auto"/>
      </w:divBdr>
    </w:div>
    <w:div w:id="974674264">
      <w:bodyDiv w:val="1"/>
      <w:marLeft w:val="0"/>
      <w:marRight w:val="0"/>
      <w:marTop w:val="0"/>
      <w:marBottom w:val="0"/>
      <w:divBdr>
        <w:top w:val="none" w:sz="0" w:space="0" w:color="auto"/>
        <w:left w:val="none" w:sz="0" w:space="0" w:color="auto"/>
        <w:bottom w:val="none" w:sz="0" w:space="0" w:color="auto"/>
        <w:right w:val="none" w:sz="0" w:space="0" w:color="auto"/>
      </w:divBdr>
    </w:div>
    <w:div w:id="981811313">
      <w:bodyDiv w:val="1"/>
      <w:marLeft w:val="0"/>
      <w:marRight w:val="0"/>
      <w:marTop w:val="0"/>
      <w:marBottom w:val="0"/>
      <w:divBdr>
        <w:top w:val="none" w:sz="0" w:space="0" w:color="auto"/>
        <w:left w:val="none" w:sz="0" w:space="0" w:color="auto"/>
        <w:bottom w:val="none" w:sz="0" w:space="0" w:color="auto"/>
        <w:right w:val="none" w:sz="0" w:space="0" w:color="auto"/>
      </w:divBdr>
    </w:div>
    <w:div w:id="987050958">
      <w:bodyDiv w:val="1"/>
      <w:marLeft w:val="0"/>
      <w:marRight w:val="0"/>
      <w:marTop w:val="0"/>
      <w:marBottom w:val="0"/>
      <w:divBdr>
        <w:top w:val="none" w:sz="0" w:space="0" w:color="auto"/>
        <w:left w:val="none" w:sz="0" w:space="0" w:color="auto"/>
        <w:bottom w:val="none" w:sz="0" w:space="0" w:color="auto"/>
        <w:right w:val="none" w:sz="0" w:space="0" w:color="auto"/>
      </w:divBdr>
    </w:div>
    <w:div w:id="987900930">
      <w:bodyDiv w:val="1"/>
      <w:marLeft w:val="0"/>
      <w:marRight w:val="0"/>
      <w:marTop w:val="0"/>
      <w:marBottom w:val="0"/>
      <w:divBdr>
        <w:top w:val="none" w:sz="0" w:space="0" w:color="auto"/>
        <w:left w:val="none" w:sz="0" w:space="0" w:color="auto"/>
        <w:bottom w:val="none" w:sz="0" w:space="0" w:color="auto"/>
        <w:right w:val="none" w:sz="0" w:space="0" w:color="auto"/>
      </w:divBdr>
    </w:div>
    <w:div w:id="991833825">
      <w:bodyDiv w:val="1"/>
      <w:marLeft w:val="0"/>
      <w:marRight w:val="0"/>
      <w:marTop w:val="0"/>
      <w:marBottom w:val="0"/>
      <w:divBdr>
        <w:top w:val="none" w:sz="0" w:space="0" w:color="auto"/>
        <w:left w:val="none" w:sz="0" w:space="0" w:color="auto"/>
        <w:bottom w:val="none" w:sz="0" w:space="0" w:color="auto"/>
        <w:right w:val="none" w:sz="0" w:space="0" w:color="auto"/>
      </w:divBdr>
    </w:div>
    <w:div w:id="995380762">
      <w:bodyDiv w:val="1"/>
      <w:marLeft w:val="0"/>
      <w:marRight w:val="0"/>
      <w:marTop w:val="0"/>
      <w:marBottom w:val="0"/>
      <w:divBdr>
        <w:top w:val="none" w:sz="0" w:space="0" w:color="auto"/>
        <w:left w:val="none" w:sz="0" w:space="0" w:color="auto"/>
        <w:bottom w:val="none" w:sz="0" w:space="0" w:color="auto"/>
        <w:right w:val="none" w:sz="0" w:space="0" w:color="auto"/>
      </w:divBdr>
    </w:div>
    <w:div w:id="1000086804">
      <w:bodyDiv w:val="1"/>
      <w:marLeft w:val="0"/>
      <w:marRight w:val="0"/>
      <w:marTop w:val="0"/>
      <w:marBottom w:val="0"/>
      <w:divBdr>
        <w:top w:val="none" w:sz="0" w:space="0" w:color="auto"/>
        <w:left w:val="none" w:sz="0" w:space="0" w:color="auto"/>
        <w:bottom w:val="none" w:sz="0" w:space="0" w:color="auto"/>
        <w:right w:val="none" w:sz="0" w:space="0" w:color="auto"/>
      </w:divBdr>
    </w:div>
    <w:div w:id="1003433284">
      <w:bodyDiv w:val="1"/>
      <w:marLeft w:val="0"/>
      <w:marRight w:val="0"/>
      <w:marTop w:val="0"/>
      <w:marBottom w:val="0"/>
      <w:divBdr>
        <w:top w:val="none" w:sz="0" w:space="0" w:color="auto"/>
        <w:left w:val="none" w:sz="0" w:space="0" w:color="auto"/>
        <w:bottom w:val="none" w:sz="0" w:space="0" w:color="auto"/>
        <w:right w:val="none" w:sz="0" w:space="0" w:color="auto"/>
      </w:divBdr>
    </w:div>
    <w:div w:id="1016007588">
      <w:bodyDiv w:val="1"/>
      <w:marLeft w:val="0"/>
      <w:marRight w:val="0"/>
      <w:marTop w:val="0"/>
      <w:marBottom w:val="0"/>
      <w:divBdr>
        <w:top w:val="none" w:sz="0" w:space="0" w:color="auto"/>
        <w:left w:val="none" w:sz="0" w:space="0" w:color="auto"/>
        <w:bottom w:val="none" w:sz="0" w:space="0" w:color="auto"/>
        <w:right w:val="none" w:sz="0" w:space="0" w:color="auto"/>
      </w:divBdr>
    </w:div>
    <w:div w:id="1017267424">
      <w:bodyDiv w:val="1"/>
      <w:marLeft w:val="0"/>
      <w:marRight w:val="0"/>
      <w:marTop w:val="0"/>
      <w:marBottom w:val="0"/>
      <w:divBdr>
        <w:top w:val="none" w:sz="0" w:space="0" w:color="auto"/>
        <w:left w:val="none" w:sz="0" w:space="0" w:color="auto"/>
        <w:bottom w:val="none" w:sz="0" w:space="0" w:color="auto"/>
        <w:right w:val="none" w:sz="0" w:space="0" w:color="auto"/>
      </w:divBdr>
    </w:div>
    <w:div w:id="1021584989">
      <w:bodyDiv w:val="1"/>
      <w:marLeft w:val="0"/>
      <w:marRight w:val="0"/>
      <w:marTop w:val="0"/>
      <w:marBottom w:val="0"/>
      <w:divBdr>
        <w:top w:val="none" w:sz="0" w:space="0" w:color="auto"/>
        <w:left w:val="none" w:sz="0" w:space="0" w:color="auto"/>
        <w:bottom w:val="none" w:sz="0" w:space="0" w:color="auto"/>
        <w:right w:val="none" w:sz="0" w:space="0" w:color="auto"/>
      </w:divBdr>
    </w:div>
    <w:div w:id="1023630374">
      <w:bodyDiv w:val="1"/>
      <w:marLeft w:val="0"/>
      <w:marRight w:val="0"/>
      <w:marTop w:val="0"/>
      <w:marBottom w:val="0"/>
      <w:divBdr>
        <w:top w:val="none" w:sz="0" w:space="0" w:color="auto"/>
        <w:left w:val="none" w:sz="0" w:space="0" w:color="auto"/>
        <w:bottom w:val="none" w:sz="0" w:space="0" w:color="auto"/>
        <w:right w:val="none" w:sz="0" w:space="0" w:color="auto"/>
      </w:divBdr>
    </w:div>
    <w:div w:id="1030843029">
      <w:bodyDiv w:val="1"/>
      <w:marLeft w:val="0"/>
      <w:marRight w:val="0"/>
      <w:marTop w:val="0"/>
      <w:marBottom w:val="0"/>
      <w:divBdr>
        <w:top w:val="none" w:sz="0" w:space="0" w:color="auto"/>
        <w:left w:val="none" w:sz="0" w:space="0" w:color="auto"/>
        <w:bottom w:val="none" w:sz="0" w:space="0" w:color="auto"/>
        <w:right w:val="none" w:sz="0" w:space="0" w:color="auto"/>
      </w:divBdr>
    </w:div>
    <w:div w:id="1033726011">
      <w:bodyDiv w:val="1"/>
      <w:marLeft w:val="0"/>
      <w:marRight w:val="0"/>
      <w:marTop w:val="0"/>
      <w:marBottom w:val="0"/>
      <w:divBdr>
        <w:top w:val="none" w:sz="0" w:space="0" w:color="auto"/>
        <w:left w:val="none" w:sz="0" w:space="0" w:color="auto"/>
        <w:bottom w:val="none" w:sz="0" w:space="0" w:color="auto"/>
        <w:right w:val="none" w:sz="0" w:space="0" w:color="auto"/>
      </w:divBdr>
    </w:div>
    <w:div w:id="1049652039">
      <w:bodyDiv w:val="1"/>
      <w:marLeft w:val="0"/>
      <w:marRight w:val="0"/>
      <w:marTop w:val="0"/>
      <w:marBottom w:val="0"/>
      <w:divBdr>
        <w:top w:val="none" w:sz="0" w:space="0" w:color="auto"/>
        <w:left w:val="none" w:sz="0" w:space="0" w:color="auto"/>
        <w:bottom w:val="none" w:sz="0" w:space="0" w:color="auto"/>
        <w:right w:val="none" w:sz="0" w:space="0" w:color="auto"/>
      </w:divBdr>
    </w:div>
    <w:div w:id="1049887375">
      <w:bodyDiv w:val="1"/>
      <w:marLeft w:val="0"/>
      <w:marRight w:val="0"/>
      <w:marTop w:val="0"/>
      <w:marBottom w:val="0"/>
      <w:divBdr>
        <w:top w:val="none" w:sz="0" w:space="0" w:color="auto"/>
        <w:left w:val="none" w:sz="0" w:space="0" w:color="auto"/>
        <w:bottom w:val="none" w:sz="0" w:space="0" w:color="auto"/>
        <w:right w:val="none" w:sz="0" w:space="0" w:color="auto"/>
      </w:divBdr>
    </w:div>
    <w:div w:id="1050151244">
      <w:bodyDiv w:val="1"/>
      <w:marLeft w:val="0"/>
      <w:marRight w:val="0"/>
      <w:marTop w:val="0"/>
      <w:marBottom w:val="0"/>
      <w:divBdr>
        <w:top w:val="none" w:sz="0" w:space="0" w:color="auto"/>
        <w:left w:val="none" w:sz="0" w:space="0" w:color="auto"/>
        <w:bottom w:val="none" w:sz="0" w:space="0" w:color="auto"/>
        <w:right w:val="none" w:sz="0" w:space="0" w:color="auto"/>
      </w:divBdr>
    </w:div>
    <w:div w:id="1054546620">
      <w:bodyDiv w:val="1"/>
      <w:marLeft w:val="0"/>
      <w:marRight w:val="0"/>
      <w:marTop w:val="0"/>
      <w:marBottom w:val="0"/>
      <w:divBdr>
        <w:top w:val="none" w:sz="0" w:space="0" w:color="auto"/>
        <w:left w:val="none" w:sz="0" w:space="0" w:color="auto"/>
        <w:bottom w:val="none" w:sz="0" w:space="0" w:color="auto"/>
        <w:right w:val="none" w:sz="0" w:space="0" w:color="auto"/>
      </w:divBdr>
    </w:div>
    <w:div w:id="1056784512">
      <w:bodyDiv w:val="1"/>
      <w:marLeft w:val="0"/>
      <w:marRight w:val="0"/>
      <w:marTop w:val="0"/>
      <w:marBottom w:val="0"/>
      <w:divBdr>
        <w:top w:val="none" w:sz="0" w:space="0" w:color="auto"/>
        <w:left w:val="none" w:sz="0" w:space="0" w:color="auto"/>
        <w:bottom w:val="none" w:sz="0" w:space="0" w:color="auto"/>
        <w:right w:val="none" w:sz="0" w:space="0" w:color="auto"/>
      </w:divBdr>
    </w:div>
    <w:div w:id="1057120278">
      <w:bodyDiv w:val="1"/>
      <w:marLeft w:val="0"/>
      <w:marRight w:val="0"/>
      <w:marTop w:val="0"/>
      <w:marBottom w:val="0"/>
      <w:divBdr>
        <w:top w:val="none" w:sz="0" w:space="0" w:color="auto"/>
        <w:left w:val="none" w:sz="0" w:space="0" w:color="auto"/>
        <w:bottom w:val="none" w:sz="0" w:space="0" w:color="auto"/>
        <w:right w:val="none" w:sz="0" w:space="0" w:color="auto"/>
      </w:divBdr>
    </w:div>
    <w:div w:id="1062362421">
      <w:bodyDiv w:val="1"/>
      <w:marLeft w:val="0"/>
      <w:marRight w:val="0"/>
      <w:marTop w:val="0"/>
      <w:marBottom w:val="0"/>
      <w:divBdr>
        <w:top w:val="none" w:sz="0" w:space="0" w:color="auto"/>
        <w:left w:val="none" w:sz="0" w:space="0" w:color="auto"/>
        <w:bottom w:val="none" w:sz="0" w:space="0" w:color="auto"/>
        <w:right w:val="none" w:sz="0" w:space="0" w:color="auto"/>
      </w:divBdr>
    </w:div>
    <w:div w:id="1066034096">
      <w:bodyDiv w:val="1"/>
      <w:marLeft w:val="0"/>
      <w:marRight w:val="0"/>
      <w:marTop w:val="0"/>
      <w:marBottom w:val="0"/>
      <w:divBdr>
        <w:top w:val="none" w:sz="0" w:space="0" w:color="auto"/>
        <w:left w:val="none" w:sz="0" w:space="0" w:color="auto"/>
        <w:bottom w:val="none" w:sz="0" w:space="0" w:color="auto"/>
        <w:right w:val="none" w:sz="0" w:space="0" w:color="auto"/>
      </w:divBdr>
    </w:div>
    <w:div w:id="1067536734">
      <w:bodyDiv w:val="1"/>
      <w:marLeft w:val="0"/>
      <w:marRight w:val="0"/>
      <w:marTop w:val="0"/>
      <w:marBottom w:val="0"/>
      <w:divBdr>
        <w:top w:val="none" w:sz="0" w:space="0" w:color="auto"/>
        <w:left w:val="none" w:sz="0" w:space="0" w:color="auto"/>
        <w:bottom w:val="none" w:sz="0" w:space="0" w:color="auto"/>
        <w:right w:val="none" w:sz="0" w:space="0" w:color="auto"/>
      </w:divBdr>
    </w:div>
    <w:div w:id="1076320993">
      <w:bodyDiv w:val="1"/>
      <w:marLeft w:val="0"/>
      <w:marRight w:val="0"/>
      <w:marTop w:val="0"/>
      <w:marBottom w:val="0"/>
      <w:divBdr>
        <w:top w:val="none" w:sz="0" w:space="0" w:color="auto"/>
        <w:left w:val="none" w:sz="0" w:space="0" w:color="auto"/>
        <w:bottom w:val="none" w:sz="0" w:space="0" w:color="auto"/>
        <w:right w:val="none" w:sz="0" w:space="0" w:color="auto"/>
      </w:divBdr>
    </w:div>
    <w:div w:id="1078212972">
      <w:bodyDiv w:val="1"/>
      <w:marLeft w:val="0"/>
      <w:marRight w:val="0"/>
      <w:marTop w:val="0"/>
      <w:marBottom w:val="0"/>
      <w:divBdr>
        <w:top w:val="none" w:sz="0" w:space="0" w:color="auto"/>
        <w:left w:val="none" w:sz="0" w:space="0" w:color="auto"/>
        <w:bottom w:val="none" w:sz="0" w:space="0" w:color="auto"/>
        <w:right w:val="none" w:sz="0" w:space="0" w:color="auto"/>
      </w:divBdr>
    </w:div>
    <w:div w:id="1084376968">
      <w:bodyDiv w:val="1"/>
      <w:marLeft w:val="0"/>
      <w:marRight w:val="0"/>
      <w:marTop w:val="0"/>
      <w:marBottom w:val="0"/>
      <w:divBdr>
        <w:top w:val="none" w:sz="0" w:space="0" w:color="auto"/>
        <w:left w:val="none" w:sz="0" w:space="0" w:color="auto"/>
        <w:bottom w:val="none" w:sz="0" w:space="0" w:color="auto"/>
        <w:right w:val="none" w:sz="0" w:space="0" w:color="auto"/>
      </w:divBdr>
    </w:div>
    <w:div w:id="1088159982">
      <w:bodyDiv w:val="1"/>
      <w:marLeft w:val="0"/>
      <w:marRight w:val="0"/>
      <w:marTop w:val="0"/>
      <w:marBottom w:val="0"/>
      <w:divBdr>
        <w:top w:val="none" w:sz="0" w:space="0" w:color="auto"/>
        <w:left w:val="none" w:sz="0" w:space="0" w:color="auto"/>
        <w:bottom w:val="none" w:sz="0" w:space="0" w:color="auto"/>
        <w:right w:val="none" w:sz="0" w:space="0" w:color="auto"/>
      </w:divBdr>
    </w:div>
    <w:div w:id="1090002286">
      <w:bodyDiv w:val="1"/>
      <w:marLeft w:val="0"/>
      <w:marRight w:val="0"/>
      <w:marTop w:val="0"/>
      <w:marBottom w:val="0"/>
      <w:divBdr>
        <w:top w:val="none" w:sz="0" w:space="0" w:color="auto"/>
        <w:left w:val="none" w:sz="0" w:space="0" w:color="auto"/>
        <w:bottom w:val="none" w:sz="0" w:space="0" w:color="auto"/>
        <w:right w:val="none" w:sz="0" w:space="0" w:color="auto"/>
      </w:divBdr>
    </w:div>
    <w:div w:id="1094208304">
      <w:bodyDiv w:val="1"/>
      <w:marLeft w:val="0"/>
      <w:marRight w:val="0"/>
      <w:marTop w:val="0"/>
      <w:marBottom w:val="0"/>
      <w:divBdr>
        <w:top w:val="none" w:sz="0" w:space="0" w:color="auto"/>
        <w:left w:val="none" w:sz="0" w:space="0" w:color="auto"/>
        <w:bottom w:val="none" w:sz="0" w:space="0" w:color="auto"/>
        <w:right w:val="none" w:sz="0" w:space="0" w:color="auto"/>
      </w:divBdr>
    </w:div>
    <w:div w:id="1097285307">
      <w:bodyDiv w:val="1"/>
      <w:marLeft w:val="0"/>
      <w:marRight w:val="0"/>
      <w:marTop w:val="0"/>
      <w:marBottom w:val="0"/>
      <w:divBdr>
        <w:top w:val="none" w:sz="0" w:space="0" w:color="auto"/>
        <w:left w:val="none" w:sz="0" w:space="0" w:color="auto"/>
        <w:bottom w:val="none" w:sz="0" w:space="0" w:color="auto"/>
        <w:right w:val="none" w:sz="0" w:space="0" w:color="auto"/>
      </w:divBdr>
    </w:div>
    <w:div w:id="1105921890">
      <w:bodyDiv w:val="1"/>
      <w:marLeft w:val="0"/>
      <w:marRight w:val="0"/>
      <w:marTop w:val="0"/>
      <w:marBottom w:val="0"/>
      <w:divBdr>
        <w:top w:val="none" w:sz="0" w:space="0" w:color="auto"/>
        <w:left w:val="none" w:sz="0" w:space="0" w:color="auto"/>
        <w:bottom w:val="none" w:sz="0" w:space="0" w:color="auto"/>
        <w:right w:val="none" w:sz="0" w:space="0" w:color="auto"/>
      </w:divBdr>
    </w:div>
    <w:div w:id="1107386099">
      <w:bodyDiv w:val="1"/>
      <w:marLeft w:val="0"/>
      <w:marRight w:val="0"/>
      <w:marTop w:val="0"/>
      <w:marBottom w:val="0"/>
      <w:divBdr>
        <w:top w:val="none" w:sz="0" w:space="0" w:color="auto"/>
        <w:left w:val="none" w:sz="0" w:space="0" w:color="auto"/>
        <w:bottom w:val="none" w:sz="0" w:space="0" w:color="auto"/>
        <w:right w:val="none" w:sz="0" w:space="0" w:color="auto"/>
      </w:divBdr>
    </w:div>
    <w:div w:id="1115950270">
      <w:bodyDiv w:val="1"/>
      <w:marLeft w:val="0"/>
      <w:marRight w:val="0"/>
      <w:marTop w:val="0"/>
      <w:marBottom w:val="0"/>
      <w:divBdr>
        <w:top w:val="none" w:sz="0" w:space="0" w:color="auto"/>
        <w:left w:val="none" w:sz="0" w:space="0" w:color="auto"/>
        <w:bottom w:val="none" w:sz="0" w:space="0" w:color="auto"/>
        <w:right w:val="none" w:sz="0" w:space="0" w:color="auto"/>
      </w:divBdr>
    </w:div>
    <w:div w:id="1118717137">
      <w:bodyDiv w:val="1"/>
      <w:marLeft w:val="0"/>
      <w:marRight w:val="0"/>
      <w:marTop w:val="0"/>
      <w:marBottom w:val="0"/>
      <w:divBdr>
        <w:top w:val="none" w:sz="0" w:space="0" w:color="auto"/>
        <w:left w:val="none" w:sz="0" w:space="0" w:color="auto"/>
        <w:bottom w:val="none" w:sz="0" w:space="0" w:color="auto"/>
        <w:right w:val="none" w:sz="0" w:space="0" w:color="auto"/>
      </w:divBdr>
    </w:div>
    <w:div w:id="1121722746">
      <w:bodyDiv w:val="1"/>
      <w:marLeft w:val="0"/>
      <w:marRight w:val="0"/>
      <w:marTop w:val="0"/>
      <w:marBottom w:val="0"/>
      <w:divBdr>
        <w:top w:val="none" w:sz="0" w:space="0" w:color="auto"/>
        <w:left w:val="none" w:sz="0" w:space="0" w:color="auto"/>
        <w:bottom w:val="none" w:sz="0" w:space="0" w:color="auto"/>
        <w:right w:val="none" w:sz="0" w:space="0" w:color="auto"/>
      </w:divBdr>
    </w:div>
    <w:div w:id="1122186731">
      <w:bodyDiv w:val="1"/>
      <w:marLeft w:val="0"/>
      <w:marRight w:val="0"/>
      <w:marTop w:val="0"/>
      <w:marBottom w:val="0"/>
      <w:divBdr>
        <w:top w:val="none" w:sz="0" w:space="0" w:color="auto"/>
        <w:left w:val="none" w:sz="0" w:space="0" w:color="auto"/>
        <w:bottom w:val="none" w:sz="0" w:space="0" w:color="auto"/>
        <w:right w:val="none" w:sz="0" w:space="0" w:color="auto"/>
      </w:divBdr>
    </w:div>
    <w:div w:id="1122385277">
      <w:bodyDiv w:val="1"/>
      <w:marLeft w:val="0"/>
      <w:marRight w:val="0"/>
      <w:marTop w:val="0"/>
      <w:marBottom w:val="0"/>
      <w:divBdr>
        <w:top w:val="none" w:sz="0" w:space="0" w:color="auto"/>
        <w:left w:val="none" w:sz="0" w:space="0" w:color="auto"/>
        <w:bottom w:val="none" w:sz="0" w:space="0" w:color="auto"/>
        <w:right w:val="none" w:sz="0" w:space="0" w:color="auto"/>
      </w:divBdr>
    </w:div>
    <w:div w:id="1126465059">
      <w:bodyDiv w:val="1"/>
      <w:marLeft w:val="0"/>
      <w:marRight w:val="0"/>
      <w:marTop w:val="0"/>
      <w:marBottom w:val="0"/>
      <w:divBdr>
        <w:top w:val="none" w:sz="0" w:space="0" w:color="auto"/>
        <w:left w:val="none" w:sz="0" w:space="0" w:color="auto"/>
        <w:bottom w:val="none" w:sz="0" w:space="0" w:color="auto"/>
        <w:right w:val="none" w:sz="0" w:space="0" w:color="auto"/>
      </w:divBdr>
    </w:div>
    <w:div w:id="1128401888">
      <w:bodyDiv w:val="1"/>
      <w:marLeft w:val="0"/>
      <w:marRight w:val="0"/>
      <w:marTop w:val="0"/>
      <w:marBottom w:val="0"/>
      <w:divBdr>
        <w:top w:val="none" w:sz="0" w:space="0" w:color="auto"/>
        <w:left w:val="none" w:sz="0" w:space="0" w:color="auto"/>
        <w:bottom w:val="none" w:sz="0" w:space="0" w:color="auto"/>
        <w:right w:val="none" w:sz="0" w:space="0" w:color="auto"/>
      </w:divBdr>
    </w:div>
    <w:div w:id="1142380084">
      <w:bodyDiv w:val="1"/>
      <w:marLeft w:val="0"/>
      <w:marRight w:val="0"/>
      <w:marTop w:val="0"/>
      <w:marBottom w:val="0"/>
      <w:divBdr>
        <w:top w:val="none" w:sz="0" w:space="0" w:color="auto"/>
        <w:left w:val="none" w:sz="0" w:space="0" w:color="auto"/>
        <w:bottom w:val="none" w:sz="0" w:space="0" w:color="auto"/>
        <w:right w:val="none" w:sz="0" w:space="0" w:color="auto"/>
      </w:divBdr>
    </w:div>
    <w:div w:id="1145203808">
      <w:bodyDiv w:val="1"/>
      <w:marLeft w:val="0"/>
      <w:marRight w:val="0"/>
      <w:marTop w:val="0"/>
      <w:marBottom w:val="0"/>
      <w:divBdr>
        <w:top w:val="none" w:sz="0" w:space="0" w:color="auto"/>
        <w:left w:val="none" w:sz="0" w:space="0" w:color="auto"/>
        <w:bottom w:val="none" w:sz="0" w:space="0" w:color="auto"/>
        <w:right w:val="none" w:sz="0" w:space="0" w:color="auto"/>
      </w:divBdr>
    </w:div>
    <w:div w:id="1147209849">
      <w:bodyDiv w:val="1"/>
      <w:marLeft w:val="0"/>
      <w:marRight w:val="0"/>
      <w:marTop w:val="0"/>
      <w:marBottom w:val="0"/>
      <w:divBdr>
        <w:top w:val="none" w:sz="0" w:space="0" w:color="auto"/>
        <w:left w:val="none" w:sz="0" w:space="0" w:color="auto"/>
        <w:bottom w:val="none" w:sz="0" w:space="0" w:color="auto"/>
        <w:right w:val="none" w:sz="0" w:space="0" w:color="auto"/>
      </w:divBdr>
    </w:div>
    <w:div w:id="1148205163">
      <w:bodyDiv w:val="1"/>
      <w:marLeft w:val="0"/>
      <w:marRight w:val="0"/>
      <w:marTop w:val="0"/>
      <w:marBottom w:val="0"/>
      <w:divBdr>
        <w:top w:val="none" w:sz="0" w:space="0" w:color="auto"/>
        <w:left w:val="none" w:sz="0" w:space="0" w:color="auto"/>
        <w:bottom w:val="none" w:sz="0" w:space="0" w:color="auto"/>
        <w:right w:val="none" w:sz="0" w:space="0" w:color="auto"/>
      </w:divBdr>
    </w:div>
    <w:div w:id="1149860523">
      <w:bodyDiv w:val="1"/>
      <w:marLeft w:val="0"/>
      <w:marRight w:val="0"/>
      <w:marTop w:val="0"/>
      <w:marBottom w:val="0"/>
      <w:divBdr>
        <w:top w:val="none" w:sz="0" w:space="0" w:color="auto"/>
        <w:left w:val="none" w:sz="0" w:space="0" w:color="auto"/>
        <w:bottom w:val="none" w:sz="0" w:space="0" w:color="auto"/>
        <w:right w:val="none" w:sz="0" w:space="0" w:color="auto"/>
      </w:divBdr>
    </w:div>
    <w:div w:id="1153252342">
      <w:bodyDiv w:val="1"/>
      <w:marLeft w:val="0"/>
      <w:marRight w:val="0"/>
      <w:marTop w:val="0"/>
      <w:marBottom w:val="0"/>
      <w:divBdr>
        <w:top w:val="none" w:sz="0" w:space="0" w:color="auto"/>
        <w:left w:val="none" w:sz="0" w:space="0" w:color="auto"/>
        <w:bottom w:val="none" w:sz="0" w:space="0" w:color="auto"/>
        <w:right w:val="none" w:sz="0" w:space="0" w:color="auto"/>
      </w:divBdr>
    </w:div>
    <w:div w:id="1158226634">
      <w:bodyDiv w:val="1"/>
      <w:marLeft w:val="0"/>
      <w:marRight w:val="0"/>
      <w:marTop w:val="0"/>
      <w:marBottom w:val="0"/>
      <w:divBdr>
        <w:top w:val="none" w:sz="0" w:space="0" w:color="auto"/>
        <w:left w:val="none" w:sz="0" w:space="0" w:color="auto"/>
        <w:bottom w:val="none" w:sz="0" w:space="0" w:color="auto"/>
        <w:right w:val="none" w:sz="0" w:space="0" w:color="auto"/>
      </w:divBdr>
    </w:div>
    <w:div w:id="1158231660">
      <w:bodyDiv w:val="1"/>
      <w:marLeft w:val="0"/>
      <w:marRight w:val="0"/>
      <w:marTop w:val="0"/>
      <w:marBottom w:val="0"/>
      <w:divBdr>
        <w:top w:val="none" w:sz="0" w:space="0" w:color="auto"/>
        <w:left w:val="none" w:sz="0" w:space="0" w:color="auto"/>
        <w:bottom w:val="none" w:sz="0" w:space="0" w:color="auto"/>
        <w:right w:val="none" w:sz="0" w:space="0" w:color="auto"/>
      </w:divBdr>
    </w:div>
    <w:div w:id="1161238321">
      <w:bodyDiv w:val="1"/>
      <w:marLeft w:val="0"/>
      <w:marRight w:val="0"/>
      <w:marTop w:val="0"/>
      <w:marBottom w:val="0"/>
      <w:divBdr>
        <w:top w:val="none" w:sz="0" w:space="0" w:color="auto"/>
        <w:left w:val="none" w:sz="0" w:space="0" w:color="auto"/>
        <w:bottom w:val="none" w:sz="0" w:space="0" w:color="auto"/>
        <w:right w:val="none" w:sz="0" w:space="0" w:color="auto"/>
      </w:divBdr>
    </w:div>
    <w:div w:id="1161431561">
      <w:bodyDiv w:val="1"/>
      <w:marLeft w:val="0"/>
      <w:marRight w:val="0"/>
      <w:marTop w:val="0"/>
      <w:marBottom w:val="0"/>
      <w:divBdr>
        <w:top w:val="none" w:sz="0" w:space="0" w:color="auto"/>
        <w:left w:val="none" w:sz="0" w:space="0" w:color="auto"/>
        <w:bottom w:val="none" w:sz="0" w:space="0" w:color="auto"/>
        <w:right w:val="none" w:sz="0" w:space="0" w:color="auto"/>
      </w:divBdr>
    </w:div>
    <w:div w:id="1163357199">
      <w:bodyDiv w:val="1"/>
      <w:marLeft w:val="0"/>
      <w:marRight w:val="0"/>
      <w:marTop w:val="0"/>
      <w:marBottom w:val="0"/>
      <w:divBdr>
        <w:top w:val="none" w:sz="0" w:space="0" w:color="auto"/>
        <w:left w:val="none" w:sz="0" w:space="0" w:color="auto"/>
        <w:bottom w:val="none" w:sz="0" w:space="0" w:color="auto"/>
        <w:right w:val="none" w:sz="0" w:space="0" w:color="auto"/>
      </w:divBdr>
    </w:div>
    <w:div w:id="1163735687">
      <w:bodyDiv w:val="1"/>
      <w:marLeft w:val="0"/>
      <w:marRight w:val="0"/>
      <w:marTop w:val="0"/>
      <w:marBottom w:val="0"/>
      <w:divBdr>
        <w:top w:val="none" w:sz="0" w:space="0" w:color="auto"/>
        <w:left w:val="none" w:sz="0" w:space="0" w:color="auto"/>
        <w:bottom w:val="none" w:sz="0" w:space="0" w:color="auto"/>
        <w:right w:val="none" w:sz="0" w:space="0" w:color="auto"/>
      </w:divBdr>
    </w:div>
    <w:div w:id="1165511974">
      <w:bodyDiv w:val="1"/>
      <w:marLeft w:val="0"/>
      <w:marRight w:val="0"/>
      <w:marTop w:val="0"/>
      <w:marBottom w:val="0"/>
      <w:divBdr>
        <w:top w:val="none" w:sz="0" w:space="0" w:color="auto"/>
        <w:left w:val="none" w:sz="0" w:space="0" w:color="auto"/>
        <w:bottom w:val="none" w:sz="0" w:space="0" w:color="auto"/>
        <w:right w:val="none" w:sz="0" w:space="0" w:color="auto"/>
      </w:divBdr>
    </w:div>
    <w:div w:id="1172574023">
      <w:bodyDiv w:val="1"/>
      <w:marLeft w:val="0"/>
      <w:marRight w:val="0"/>
      <w:marTop w:val="0"/>
      <w:marBottom w:val="0"/>
      <w:divBdr>
        <w:top w:val="none" w:sz="0" w:space="0" w:color="auto"/>
        <w:left w:val="none" w:sz="0" w:space="0" w:color="auto"/>
        <w:bottom w:val="none" w:sz="0" w:space="0" w:color="auto"/>
        <w:right w:val="none" w:sz="0" w:space="0" w:color="auto"/>
      </w:divBdr>
    </w:div>
    <w:div w:id="1173451603">
      <w:bodyDiv w:val="1"/>
      <w:marLeft w:val="0"/>
      <w:marRight w:val="0"/>
      <w:marTop w:val="0"/>
      <w:marBottom w:val="0"/>
      <w:divBdr>
        <w:top w:val="none" w:sz="0" w:space="0" w:color="auto"/>
        <w:left w:val="none" w:sz="0" w:space="0" w:color="auto"/>
        <w:bottom w:val="none" w:sz="0" w:space="0" w:color="auto"/>
        <w:right w:val="none" w:sz="0" w:space="0" w:color="auto"/>
      </w:divBdr>
    </w:div>
    <w:div w:id="1173454587">
      <w:bodyDiv w:val="1"/>
      <w:marLeft w:val="0"/>
      <w:marRight w:val="0"/>
      <w:marTop w:val="0"/>
      <w:marBottom w:val="0"/>
      <w:divBdr>
        <w:top w:val="none" w:sz="0" w:space="0" w:color="auto"/>
        <w:left w:val="none" w:sz="0" w:space="0" w:color="auto"/>
        <w:bottom w:val="none" w:sz="0" w:space="0" w:color="auto"/>
        <w:right w:val="none" w:sz="0" w:space="0" w:color="auto"/>
      </w:divBdr>
    </w:div>
    <w:div w:id="1179152100">
      <w:bodyDiv w:val="1"/>
      <w:marLeft w:val="0"/>
      <w:marRight w:val="0"/>
      <w:marTop w:val="0"/>
      <w:marBottom w:val="0"/>
      <w:divBdr>
        <w:top w:val="none" w:sz="0" w:space="0" w:color="auto"/>
        <w:left w:val="none" w:sz="0" w:space="0" w:color="auto"/>
        <w:bottom w:val="none" w:sz="0" w:space="0" w:color="auto"/>
        <w:right w:val="none" w:sz="0" w:space="0" w:color="auto"/>
      </w:divBdr>
    </w:div>
    <w:div w:id="1179348723">
      <w:bodyDiv w:val="1"/>
      <w:marLeft w:val="0"/>
      <w:marRight w:val="0"/>
      <w:marTop w:val="0"/>
      <w:marBottom w:val="0"/>
      <w:divBdr>
        <w:top w:val="none" w:sz="0" w:space="0" w:color="auto"/>
        <w:left w:val="none" w:sz="0" w:space="0" w:color="auto"/>
        <w:bottom w:val="none" w:sz="0" w:space="0" w:color="auto"/>
        <w:right w:val="none" w:sz="0" w:space="0" w:color="auto"/>
      </w:divBdr>
    </w:div>
    <w:div w:id="1182164216">
      <w:bodyDiv w:val="1"/>
      <w:marLeft w:val="0"/>
      <w:marRight w:val="0"/>
      <w:marTop w:val="0"/>
      <w:marBottom w:val="0"/>
      <w:divBdr>
        <w:top w:val="none" w:sz="0" w:space="0" w:color="auto"/>
        <w:left w:val="none" w:sz="0" w:space="0" w:color="auto"/>
        <w:bottom w:val="none" w:sz="0" w:space="0" w:color="auto"/>
        <w:right w:val="none" w:sz="0" w:space="0" w:color="auto"/>
      </w:divBdr>
    </w:div>
    <w:div w:id="1191527677">
      <w:bodyDiv w:val="1"/>
      <w:marLeft w:val="0"/>
      <w:marRight w:val="0"/>
      <w:marTop w:val="0"/>
      <w:marBottom w:val="0"/>
      <w:divBdr>
        <w:top w:val="none" w:sz="0" w:space="0" w:color="auto"/>
        <w:left w:val="none" w:sz="0" w:space="0" w:color="auto"/>
        <w:bottom w:val="none" w:sz="0" w:space="0" w:color="auto"/>
        <w:right w:val="none" w:sz="0" w:space="0" w:color="auto"/>
      </w:divBdr>
    </w:div>
    <w:div w:id="1195270184">
      <w:bodyDiv w:val="1"/>
      <w:marLeft w:val="0"/>
      <w:marRight w:val="0"/>
      <w:marTop w:val="0"/>
      <w:marBottom w:val="0"/>
      <w:divBdr>
        <w:top w:val="none" w:sz="0" w:space="0" w:color="auto"/>
        <w:left w:val="none" w:sz="0" w:space="0" w:color="auto"/>
        <w:bottom w:val="none" w:sz="0" w:space="0" w:color="auto"/>
        <w:right w:val="none" w:sz="0" w:space="0" w:color="auto"/>
      </w:divBdr>
    </w:div>
    <w:div w:id="1207722390">
      <w:bodyDiv w:val="1"/>
      <w:marLeft w:val="0"/>
      <w:marRight w:val="0"/>
      <w:marTop w:val="0"/>
      <w:marBottom w:val="0"/>
      <w:divBdr>
        <w:top w:val="none" w:sz="0" w:space="0" w:color="auto"/>
        <w:left w:val="none" w:sz="0" w:space="0" w:color="auto"/>
        <w:bottom w:val="none" w:sz="0" w:space="0" w:color="auto"/>
        <w:right w:val="none" w:sz="0" w:space="0" w:color="auto"/>
      </w:divBdr>
    </w:div>
    <w:div w:id="1212811783">
      <w:bodyDiv w:val="1"/>
      <w:marLeft w:val="0"/>
      <w:marRight w:val="0"/>
      <w:marTop w:val="0"/>
      <w:marBottom w:val="0"/>
      <w:divBdr>
        <w:top w:val="none" w:sz="0" w:space="0" w:color="auto"/>
        <w:left w:val="none" w:sz="0" w:space="0" w:color="auto"/>
        <w:bottom w:val="none" w:sz="0" w:space="0" w:color="auto"/>
        <w:right w:val="none" w:sz="0" w:space="0" w:color="auto"/>
      </w:divBdr>
    </w:div>
    <w:div w:id="1213807756">
      <w:bodyDiv w:val="1"/>
      <w:marLeft w:val="0"/>
      <w:marRight w:val="0"/>
      <w:marTop w:val="0"/>
      <w:marBottom w:val="0"/>
      <w:divBdr>
        <w:top w:val="none" w:sz="0" w:space="0" w:color="auto"/>
        <w:left w:val="none" w:sz="0" w:space="0" w:color="auto"/>
        <w:bottom w:val="none" w:sz="0" w:space="0" w:color="auto"/>
        <w:right w:val="none" w:sz="0" w:space="0" w:color="auto"/>
      </w:divBdr>
    </w:div>
    <w:div w:id="1220171838">
      <w:bodyDiv w:val="1"/>
      <w:marLeft w:val="0"/>
      <w:marRight w:val="0"/>
      <w:marTop w:val="0"/>
      <w:marBottom w:val="0"/>
      <w:divBdr>
        <w:top w:val="none" w:sz="0" w:space="0" w:color="auto"/>
        <w:left w:val="none" w:sz="0" w:space="0" w:color="auto"/>
        <w:bottom w:val="none" w:sz="0" w:space="0" w:color="auto"/>
        <w:right w:val="none" w:sz="0" w:space="0" w:color="auto"/>
      </w:divBdr>
    </w:div>
    <w:div w:id="1221088139">
      <w:bodyDiv w:val="1"/>
      <w:marLeft w:val="0"/>
      <w:marRight w:val="0"/>
      <w:marTop w:val="0"/>
      <w:marBottom w:val="0"/>
      <w:divBdr>
        <w:top w:val="none" w:sz="0" w:space="0" w:color="auto"/>
        <w:left w:val="none" w:sz="0" w:space="0" w:color="auto"/>
        <w:bottom w:val="none" w:sz="0" w:space="0" w:color="auto"/>
        <w:right w:val="none" w:sz="0" w:space="0" w:color="auto"/>
      </w:divBdr>
    </w:div>
    <w:div w:id="1221794391">
      <w:bodyDiv w:val="1"/>
      <w:marLeft w:val="0"/>
      <w:marRight w:val="0"/>
      <w:marTop w:val="0"/>
      <w:marBottom w:val="0"/>
      <w:divBdr>
        <w:top w:val="none" w:sz="0" w:space="0" w:color="auto"/>
        <w:left w:val="none" w:sz="0" w:space="0" w:color="auto"/>
        <w:bottom w:val="none" w:sz="0" w:space="0" w:color="auto"/>
        <w:right w:val="none" w:sz="0" w:space="0" w:color="auto"/>
      </w:divBdr>
    </w:div>
    <w:div w:id="1225487899">
      <w:bodyDiv w:val="1"/>
      <w:marLeft w:val="0"/>
      <w:marRight w:val="0"/>
      <w:marTop w:val="0"/>
      <w:marBottom w:val="0"/>
      <w:divBdr>
        <w:top w:val="none" w:sz="0" w:space="0" w:color="auto"/>
        <w:left w:val="none" w:sz="0" w:space="0" w:color="auto"/>
        <w:bottom w:val="none" w:sz="0" w:space="0" w:color="auto"/>
        <w:right w:val="none" w:sz="0" w:space="0" w:color="auto"/>
      </w:divBdr>
    </w:div>
    <w:div w:id="1227568156">
      <w:bodyDiv w:val="1"/>
      <w:marLeft w:val="0"/>
      <w:marRight w:val="0"/>
      <w:marTop w:val="0"/>
      <w:marBottom w:val="0"/>
      <w:divBdr>
        <w:top w:val="none" w:sz="0" w:space="0" w:color="auto"/>
        <w:left w:val="none" w:sz="0" w:space="0" w:color="auto"/>
        <w:bottom w:val="none" w:sz="0" w:space="0" w:color="auto"/>
        <w:right w:val="none" w:sz="0" w:space="0" w:color="auto"/>
      </w:divBdr>
    </w:div>
    <w:div w:id="1234046826">
      <w:bodyDiv w:val="1"/>
      <w:marLeft w:val="0"/>
      <w:marRight w:val="0"/>
      <w:marTop w:val="0"/>
      <w:marBottom w:val="0"/>
      <w:divBdr>
        <w:top w:val="none" w:sz="0" w:space="0" w:color="auto"/>
        <w:left w:val="none" w:sz="0" w:space="0" w:color="auto"/>
        <w:bottom w:val="none" w:sz="0" w:space="0" w:color="auto"/>
        <w:right w:val="none" w:sz="0" w:space="0" w:color="auto"/>
      </w:divBdr>
    </w:div>
    <w:div w:id="1238248378">
      <w:bodyDiv w:val="1"/>
      <w:marLeft w:val="0"/>
      <w:marRight w:val="0"/>
      <w:marTop w:val="0"/>
      <w:marBottom w:val="0"/>
      <w:divBdr>
        <w:top w:val="none" w:sz="0" w:space="0" w:color="auto"/>
        <w:left w:val="none" w:sz="0" w:space="0" w:color="auto"/>
        <w:bottom w:val="none" w:sz="0" w:space="0" w:color="auto"/>
        <w:right w:val="none" w:sz="0" w:space="0" w:color="auto"/>
      </w:divBdr>
    </w:div>
    <w:div w:id="1239166882">
      <w:bodyDiv w:val="1"/>
      <w:marLeft w:val="0"/>
      <w:marRight w:val="0"/>
      <w:marTop w:val="0"/>
      <w:marBottom w:val="0"/>
      <w:divBdr>
        <w:top w:val="none" w:sz="0" w:space="0" w:color="auto"/>
        <w:left w:val="none" w:sz="0" w:space="0" w:color="auto"/>
        <w:bottom w:val="none" w:sz="0" w:space="0" w:color="auto"/>
        <w:right w:val="none" w:sz="0" w:space="0" w:color="auto"/>
      </w:divBdr>
    </w:div>
    <w:div w:id="1241715526">
      <w:bodyDiv w:val="1"/>
      <w:marLeft w:val="0"/>
      <w:marRight w:val="0"/>
      <w:marTop w:val="0"/>
      <w:marBottom w:val="0"/>
      <w:divBdr>
        <w:top w:val="none" w:sz="0" w:space="0" w:color="auto"/>
        <w:left w:val="none" w:sz="0" w:space="0" w:color="auto"/>
        <w:bottom w:val="none" w:sz="0" w:space="0" w:color="auto"/>
        <w:right w:val="none" w:sz="0" w:space="0" w:color="auto"/>
      </w:divBdr>
    </w:div>
    <w:div w:id="1242057177">
      <w:bodyDiv w:val="1"/>
      <w:marLeft w:val="0"/>
      <w:marRight w:val="0"/>
      <w:marTop w:val="0"/>
      <w:marBottom w:val="0"/>
      <w:divBdr>
        <w:top w:val="none" w:sz="0" w:space="0" w:color="auto"/>
        <w:left w:val="none" w:sz="0" w:space="0" w:color="auto"/>
        <w:bottom w:val="none" w:sz="0" w:space="0" w:color="auto"/>
        <w:right w:val="none" w:sz="0" w:space="0" w:color="auto"/>
      </w:divBdr>
    </w:div>
    <w:div w:id="1242329228">
      <w:bodyDiv w:val="1"/>
      <w:marLeft w:val="0"/>
      <w:marRight w:val="0"/>
      <w:marTop w:val="0"/>
      <w:marBottom w:val="0"/>
      <w:divBdr>
        <w:top w:val="none" w:sz="0" w:space="0" w:color="auto"/>
        <w:left w:val="none" w:sz="0" w:space="0" w:color="auto"/>
        <w:bottom w:val="none" w:sz="0" w:space="0" w:color="auto"/>
        <w:right w:val="none" w:sz="0" w:space="0" w:color="auto"/>
      </w:divBdr>
    </w:div>
    <w:div w:id="1242448963">
      <w:bodyDiv w:val="1"/>
      <w:marLeft w:val="0"/>
      <w:marRight w:val="0"/>
      <w:marTop w:val="0"/>
      <w:marBottom w:val="0"/>
      <w:divBdr>
        <w:top w:val="none" w:sz="0" w:space="0" w:color="auto"/>
        <w:left w:val="none" w:sz="0" w:space="0" w:color="auto"/>
        <w:bottom w:val="none" w:sz="0" w:space="0" w:color="auto"/>
        <w:right w:val="none" w:sz="0" w:space="0" w:color="auto"/>
      </w:divBdr>
    </w:div>
    <w:div w:id="1243372080">
      <w:bodyDiv w:val="1"/>
      <w:marLeft w:val="0"/>
      <w:marRight w:val="0"/>
      <w:marTop w:val="0"/>
      <w:marBottom w:val="0"/>
      <w:divBdr>
        <w:top w:val="none" w:sz="0" w:space="0" w:color="auto"/>
        <w:left w:val="none" w:sz="0" w:space="0" w:color="auto"/>
        <w:bottom w:val="none" w:sz="0" w:space="0" w:color="auto"/>
        <w:right w:val="none" w:sz="0" w:space="0" w:color="auto"/>
      </w:divBdr>
    </w:div>
    <w:div w:id="1244293577">
      <w:bodyDiv w:val="1"/>
      <w:marLeft w:val="0"/>
      <w:marRight w:val="0"/>
      <w:marTop w:val="0"/>
      <w:marBottom w:val="0"/>
      <w:divBdr>
        <w:top w:val="none" w:sz="0" w:space="0" w:color="auto"/>
        <w:left w:val="none" w:sz="0" w:space="0" w:color="auto"/>
        <w:bottom w:val="none" w:sz="0" w:space="0" w:color="auto"/>
        <w:right w:val="none" w:sz="0" w:space="0" w:color="auto"/>
      </w:divBdr>
    </w:div>
    <w:div w:id="1253660382">
      <w:bodyDiv w:val="1"/>
      <w:marLeft w:val="0"/>
      <w:marRight w:val="0"/>
      <w:marTop w:val="0"/>
      <w:marBottom w:val="0"/>
      <w:divBdr>
        <w:top w:val="none" w:sz="0" w:space="0" w:color="auto"/>
        <w:left w:val="none" w:sz="0" w:space="0" w:color="auto"/>
        <w:bottom w:val="none" w:sz="0" w:space="0" w:color="auto"/>
        <w:right w:val="none" w:sz="0" w:space="0" w:color="auto"/>
      </w:divBdr>
    </w:div>
    <w:div w:id="1254701515">
      <w:bodyDiv w:val="1"/>
      <w:marLeft w:val="0"/>
      <w:marRight w:val="0"/>
      <w:marTop w:val="0"/>
      <w:marBottom w:val="0"/>
      <w:divBdr>
        <w:top w:val="none" w:sz="0" w:space="0" w:color="auto"/>
        <w:left w:val="none" w:sz="0" w:space="0" w:color="auto"/>
        <w:bottom w:val="none" w:sz="0" w:space="0" w:color="auto"/>
        <w:right w:val="none" w:sz="0" w:space="0" w:color="auto"/>
      </w:divBdr>
    </w:div>
    <w:div w:id="1258370174">
      <w:bodyDiv w:val="1"/>
      <w:marLeft w:val="0"/>
      <w:marRight w:val="0"/>
      <w:marTop w:val="0"/>
      <w:marBottom w:val="0"/>
      <w:divBdr>
        <w:top w:val="none" w:sz="0" w:space="0" w:color="auto"/>
        <w:left w:val="none" w:sz="0" w:space="0" w:color="auto"/>
        <w:bottom w:val="none" w:sz="0" w:space="0" w:color="auto"/>
        <w:right w:val="none" w:sz="0" w:space="0" w:color="auto"/>
      </w:divBdr>
    </w:div>
    <w:div w:id="1259411337">
      <w:bodyDiv w:val="1"/>
      <w:marLeft w:val="0"/>
      <w:marRight w:val="0"/>
      <w:marTop w:val="0"/>
      <w:marBottom w:val="0"/>
      <w:divBdr>
        <w:top w:val="none" w:sz="0" w:space="0" w:color="auto"/>
        <w:left w:val="none" w:sz="0" w:space="0" w:color="auto"/>
        <w:bottom w:val="none" w:sz="0" w:space="0" w:color="auto"/>
        <w:right w:val="none" w:sz="0" w:space="0" w:color="auto"/>
      </w:divBdr>
    </w:div>
    <w:div w:id="1263686575">
      <w:bodyDiv w:val="1"/>
      <w:marLeft w:val="0"/>
      <w:marRight w:val="0"/>
      <w:marTop w:val="0"/>
      <w:marBottom w:val="0"/>
      <w:divBdr>
        <w:top w:val="none" w:sz="0" w:space="0" w:color="auto"/>
        <w:left w:val="none" w:sz="0" w:space="0" w:color="auto"/>
        <w:bottom w:val="none" w:sz="0" w:space="0" w:color="auto"/>
        <w:right w:val="none" w:sz="0" w:space="0" w:color="auto"/>
      </w:divBdr>
    </w:div>
    <w:div w:id="1266377238">
      <w:bodyDiv w:val="1"/>
      <w:marLeft w:val="0"/>
      <w:marRight w:val="0"/>
      <w:marTop w:val="0"/>
      <w:marBottom w:val="0"/>
      <w:divBdr>
        <w:top w:val="none" w:sz="0" w:space="0" w:color="auto"/>
        <w:left w:val="none" w:sz="0" w:space="0" w:color="auto"/>
        <w:bottom w:val="none" w:sz="0" w:space="0" w:color="auto"/>
        <w:right w:val="none" w:sz="0" w:space="0" w:color="auto"/>
      </w:divBdr>
    </w:div>
    <w:div w:id="1271427630">
      <w:bodyDiv w:val="1"/>
      <w:marLeft w:val="0"/>
      <w:marRight w:val="0"/>
      <w:marTop w:val="0"/>
      <w:marBottom w:val="0"/>
      <w:divBdr>
        <w:top w:val="none" w:sz="0" w:space="0" w:color="auto"/>
        <w:left w:val="none" w:sz="0" w:space="0" w:color="auto"/>
        <w:bottom w:val="none" w:sz="0" w:space="0" w:color="auto"/>
        <w:right w:val="none" w:sz="0" w:space="0" w:color="auto"/>
      </w:divBdr>
    </w:div>
    <w:div w:id="1276016283">
      <w:bodyDiv w:val="1"/>
      <w:marLeft w:val="0"/>
      <w:marRight w:val="0"/>
      <w:marTop w:val="0"/>
      <w:marBottom w:val="0"/>
      <w:divBdr>
        <w:top w:val="none" w:sz="0" w:space="0" w:color="auto"/>
        <w:left w:val="none" w:sz="0" w:space="0" w:color="auto"/>
        <w:bottom w:val="none" w:sz="0" w:space="0" w:color="auto"/>
        <w:right w:val="none" w:sz="0" w:space="0" w:color="auto"/>
      </w:divBdr>
    </w:div>
    <w:div w:id="1278098109">
      <w:bodyDiv w:val="1"/>
      <w:marLeft w:val="0"/>
      <w:marRight w:val="0"/>
      <w:marTop w:val="0"/>
      <w:marBottom w:val="0"/>
      <w:divBdr>
        <w:top w:val="none" w:sz="0" w:space="0" w:color="auto"/>
        <w:left w:val="none" w:sz="0" w:space="0" w:color="auto"/>
        <w:bottom w:val="none" w:sz="0" w:space="0" w:color="auto"/>
        <w:right w:val="none" w:sz="0" w:space="0" w:color="auto"/>
      </w:divBdr>
    </w:div>
    <w:div w:id="1278104363">
      <w:bodyDiv w:val="1"/>
      <w:marLeft w:val="0"/>
      <w:marRight w:val="0"/>
      <w:marTop w:val="0"/>
      <w:marBottom w:val="0"/>
      <w:divBdr>
        <w:top w:val="none" w:sz="0" w:space="0" w:color="auto"/>
        <w:left w:val="none" w:sz="0" w:space="0" w:color="auto"/>
        <w:bottom w:val="none" w:sz="0" w:space="0" w:color="auto"/>
        <w:right w:val="none" w:sz="0" w:space="0" w:color="auto"/>
      </w:divBdr>
    </w:div>
    <w:div w:id="1283659086">
      <w:bodyDiv w:val="1"/>
      <w:marLeft w:val="0"/>
      <w:marRight w:val="0"/>
      <w:marTop w:val="0"/>
      <w:marBottom w:val="0"/>
      <w:divBdr>
        <w:top w:val="none" w:sz="0" w:space="0" w:color="auto"/>
        <w:left w:val="none" w:sz="0" w:space="0" w:color="auto"/>
        <w:bottom w:val="none" w:sz="0" w:space="0" w:color="auto"/>
        <w:right w:val="none" w:sz="0" w:space="0" w:color="auto"/>
      </w:divBdr>
    </w:div>
    <w:div w:id="1289359790">
      <w:bodyDiv w:val="1"/>
      <w:marLeft w:val="0"/>
      <w:marRight w:val="0"/>
      <w:marTop w:val="0"/>
      <w:marBottom w:val="0"/>
      <w:divBdr>
        <w:top w:val="none" w:sz="0" w:space="0" w:color="auto"/>
        <w:left w:val="none" w:sz="0" w:space="0" w:color="auto"/>
        <w:bottom w:val="none" w:sz="0" w:space="0" w:color="auto"/>
        <w:right w:val="none" w:sz="0" w:space="0" w:color="auto"/>
      </w:divBdr>
    </w:div>
    <w:div w:id="1296763577">
      <w:bodyDiv w:val="1"/>
      <w:marLeft w:val="0"/>
      <w:marRight w:val="0"/>
      <w:marTop w:val="0"/>
      <w:marBottom w:val="0"/>
      <w:divBdr>
        <w:top w:val="none" w:sz="0" w:space="0" w:color="auto"/>
        <w:left w:val="none" w:sz="0" w:space="0" w:color="auto"/>
        <w:bottom w:val="none" w:sz="0" w:space="0" w:color="auto"/>
        <w:right w:val="none" w:sz="0" w:space="0" w:color="auto"/>
      </w:divBdr>
    </w:div>
    <w:div w:id="1300962229">
      <w:bodyDiv w:val="1"/>
      <w:marLeft w:val="0"/>
      <w:marRight w:val="0"/>
      <w:marTop w:val="0"/>
      <w:marBottom w:val="0"/>
      <w:divBdr>
        <w:top w:val="none" w:sz="0" w:space="0" w:color="auto"/>
        <w:left w:val="none" w:sz="0" w:space="0" w:color="auto"/>
        <w:bottom w:val="none" w:sz="0" w:space="0" w:color="auto"/>
        <w:right w:val="none" w:sz="0" w:space="0" w:color="auto"/>
      </w:divBdr>
    </w:div>
    <w:div w:id="1302150739">
      <w:bodyDiv w:val="1"/>
      <w:marLeft w:val="0"/>
      <w:marRight w:val="0"/>
      <w:marTop w:val="0"/>
      <w:marBottom w:val="0"/>
      <w:divBdr>
        <w:top w:val="none" w:sz="0" w:space="0" w:color="auto"/>
        <w:left w:val="none" w:sz="0" w:space="0" w:color="auto"/>
        <w:bottom w:val="none" w:sz="0" w:space="0" w:color="auto"/>
        <w:right w:val="none" w:sz="0" w:space="0" w:color="auto"/>
      </w:divBdr>
    </w:div>
    <w:div w:id="1308903208">
      <w:bodyDiv w:val="1"/>
      <w:marLeft w:val="0"/>
      <w:marRight w:val="0"/>
      <w:marTop w:val="0"/>
      <w:marBottom w:val="0"/>
      <w:divBdr>
        <w:top w:val="none" w:sz="0" w:space="0" w:color="auto"/>
        <w:left w:val="none" w:sz="0" w:space="0" w:color="auto"/>
        <w:bottom w:val="none" w:sz="0" w:space="0" w:color="auto"/>
        <w:right w:val="none" w:sz="0" w:space="0" w:color="auto"/>
      </w:divBdr>
    </w:div>
    <w:div w:id="1309630656">
      <w:bodyDiv w:val="1"/>
      <w:marLeft w:val="0"/>
      <w:marRight w:val="0"/>
      <w:marTop w:val="0"/>
      <w:marBottom w:val="0"/>
      <w:divBdr>
        <w:top w:val="none" w:sz="0" w:space="0" w:color="auto"/>
        <w:left w:val="none" w:sz="0" w:space="0" w:color="auto"/>
        <w:bottom w:val="none" w:sz="0" w:space="0" w:color="auto"/>
        <w:right w:val="none" w:sz="0" w:space="0" w:color="auto"/>
      </w:divBdr>
    </w:div>
    <w:div w:id="1317756838">
      <w:bodyDiv w:val="1"/>
      <w:marLeft w:val="0"/>
      <w:marRight w:val="0"/>
      <w:marTop w:val="0"/>
      <w:marBottom w:val="0"/>
      <w:divBdr>
        <w:top w:val="none" w:sz="0" w:space="0" w:color="auto"/>
        <w:left w:val="none" w:sz="0" w:space="0" w:color="auto"/>
        <w:bottom w:val="none" w:sz="0" w:space="0" w:color="auto"/>
        <w:right w:val="none" w:sz="0" w:space="0" w:color="auto"/>
      </w:divBdr>
    </w:div>
    <w:div w:id="1319916804">
      <w:bodyDiv w:val="1"/>
      <w:marLeft w:val="0"/>
      <w:marRight w:val="0"/>
      <w:marTop w:val="0"/>
      <w:marBottom w:val="0"/>
      <w:divBdr>
        <w:top w:val="none" w:sz="0" w:space="0" w:color="auto"/>
        <w:left w:val="none" w:sz="0" w:space="0" w:color="auto"/>
        <w:bottom w:val="none" w:sz="0" w:space="0" w:color="auto"/>
        <w:right w:val="none" w:sz="0" w:space="0" w:color="auto"/>
      </w:divBdr>
    </w:div>
    <w:div w:id="1323392441">
      <w:bodyDiv w:val="1"/>
      <w:marLeft w:val="0"/>
      <w:marRight w:val="0"/>
      <w:marTop w:val="0"/>
      <w:marBottom w:val="0"/>
      <w:divBdr>
        <w:top w:val="none" w:sz="0" w:space="0" w:color="auto"/>
        <w:left w:val="none" w:sz="0" w:space="0" w:color="auto"/>
        <w:bottom w:val="none" w:sz="0" w:space="0" w:color="auto"/>
        <w:right w:val="none" w:sz="0" w:space="0" w:color="auto"/>
      </w:divBdr>
    </w:div>
    <w:div w:id="1324775811">
      <w:bodyDiv w:val="1"/>
      <w:marLeft w:val="0"/>
      <w:marRight w:val="0"/>
      <w:marTop w:val="0"/>
      <w:marBottom w:val="0"/>
      <w:divBdr>
        <w:top w:val="none" w:sz="0" w:space="0" w:color="auto"/>
        <w:left w:val="none" w:sz="0" w:space="0" w:color="auto"/>
        <w:bottom w:val="none" w:sz="0" w:space="0" w:color="auto"/>
        <w:right w:val="none" w:sz="0" w:space="0" w:color="auto"/>
      </w:divBdr>
    </w:div>
    <w:div w:id="1332681142">
      <w:bodyDiv w:val="1"/>
      <w:marLeft w:val="0"/>
      <w:marRight w:val="0"/>
      <w:marTop w:val="0"/>
      <w:marBottom w:val="0"/>
      <w:divBdr>
        <w:top w:val="none" w:sz="0" w:space="0" w:color="auto"/>
        <w:left w:val="none" w:sz="0" w:space="0" w:color="auto"/>
        <w:bottom w:val="none" w:sz="0" w:space="0" w:color="auto"/>
        <w:right w:val="none" w:sz="0" w:space="0" w:color="auto"/>
      </w:divBdr>
    </w:div>
    <w:div w:id="1338146622">
      <w:bodyDiv w:val="1"/>
      <w:marLeft w:val="0"/>
      <w:marRight w:val="0"/>
      <w:marTop w:val="0"/>
      <w:marBottom w:val="0"/>
      <w:divBdr>
        <w:top w:val="none" w:sz="0" w:space="0" w:color="auto"/>
        <w:left w:val="none" w:sz="0" w:space="0" w:color="auto"/>
        <w:bottom w:val="none" w:sz="0" w:space="0" w:color="auto"/>
        <w:right w:val="none" w:sz="0" w:space="0" w:color="auto"/>
      </w:divBdr>
    </w:div>
    <w:div w:id="1340963946">
      <w:bodyDiv w:val="1"/>
      <w:marLeft w:val="0"/>
      <w:marRight w:val="0"/>
      <w:marTop w:val="0"/>
      <w:marBottom w:val="0"/>
      <w:divBdr>
        <w:top w:val="none" w:sz="0" w:space="0" w:color="auto"/>
        <w:left w:val="none" w:sz="0" w:space="0" w:color="auto"/>
        <w:bottom w:val="none" w:sz="0" w:space="0" w:color="auto"/>
        <w:right w:val="none" w:sz="0" w:space="0" w:color="auto"/>
      </w:divBdr>
    </w:div>
    <w:div w:id="1348171985">
      <w:bodyDiv w:val="1"/>
      <w:marLeft w:val="0"/>
      <w:marRight w:val="0"/>
      <w:marTop w:val="0"/>
      <w:marBottom w:val="0"/>
      <w:divBdr>
        <w:top w:val="none" w:sz="0" w:space="0" w:color="auto"/>
        <w:left w:val="none" w:sz="0" w:space="0" w:color="auto"/>
        <w:bottom w:val="none" w:sz="0" w:space="0" w:color="auto"/>
        <w:right w:val="none" w:sz="0" w:space="0" w:color="auto"/>
      </w:divBdr>
    </w:div>
    <w:div w:id="1357732874">
      <w:bodyDiv w:val="1"/>
      <w:marLeft w:val="0"/>
      <w:marRight w:val="0"/>
      <w:marTop w:val="0"/>
      <w:marBottom w:val="0"/>
      <w:divBdr>
        <w:top w:val="none" w:sz="0" w:space="0" w:color="auto"/>
        <w:left w:val="none" w:sz="0" w:space="0" w:color="auto"/>
        <w:bottom w:val="none" w:sz="0" w:space="0" w:color="auto"/>
        <w:right w:val="none" w:sz="0" w:space="0" w:color="auto"/>
      </w:divBdr>
    </w:div>
    <w:div w:id="1358043185">
      <w:bodyDiv w:val="1"/>
      <w:marLeft w:val="0"/>
      <w:marRight w:val="0"/>
      <w:marTop w:val="0"/>
      <w:marBottom w:val="0"/>
      <w:divBdr>
        <w:top w:val="none" w:sz="0" w:space="0" w:color="auto"/>
        <w:left w:val="none" w:sz="0" w:space="0" w:color="auto"/>
        <w:bottom w:val="none" w:sz="0" w:space="0" w:color="auto"/>
        <w:right w:val="none" w:sz="0" w:space="0" w:color="auto"/>
      </w:divBdr>
    </w:div>
    <w:div w:id="1359117867">
      <w:bodyDiv w:val="1"/>
      <w:marLeft w:val="0"/>
      <w:marRight w:val="0"/>
      <w:marTop w:val="0"/>
      <w:marBottom w:val="0"/>
      <w:divBdr>
        <w:top w:val="none" w:sz="0" w:space="0" w:color="auto"/>
        <w:left w:val="none" w:sz="0" w:space="0" w:color="auto"/>
        <w:bottom w:val="none" w:sz="0" w:space="0" w:color="auto"/>
        <w:right w:val="none" w:sz="0" w:space="0" w:color="auto"/>
      </w:divBdr>
    </w:div>
    <w:div w:id="1362585010">
      <w:bodyDiv w:val="1"/>
      <w:marLeft w:val="0"/>
      <w:marRight w:val="0"/>
      <w:marTop w:val="0"/>
      <w:marBottom w:val="0"/>
      <w:divBdr>
        <w:top w:val="none" w:sz="0" w:space="0" w:color="auto"/>
        <w:left w:val="none" w:sz="0" w:space="0" w:color="auto"/>
        <w:bottom w:val="none" w:sz="0" w:space="0" w:color="auto"/>
        <w:right w:val="none" w:sz="0" w:space="0" w:color="auto"/>
      </w:divBdr>
    </w:div>
    <w:div w:id="1362627724">
      <w:bodyDiv w:val="1"/>
      <w:marLeft w:val="0"/>
      <w:marRight w:val="0"/>
      <w:marTop w:val="0"/>
      <w:marBottom w:val="0"/>
      <w:divBdr>
        <w:top w:val="none" w:sz="0" w:space="0" w:color="auto"/>
        <w:left w:val="none" w:sz="0" w:space="0" w:color="auto"/>
        <w:bottom w:val="none" w:sz="0" w:space="0" w:color="auto"/>
        <w:right w:val="none" w:sz="0" w:space="0" w:color="auto"/>
      </w:divBdr>
    </w:div>
    <w:div w:id="1372000820">
      <w:bodyDiv w:val="1"/>
      <w:marLeft w:val="0"/>
      <w:marRight w:val="0"/>
      <w:marTop w:val="0"/>
      <w:marBottom w:val="0"/>
      <w:divBdr>
        <w:top w:val="none" w:sz="0" w:space="0" w:color="auto"/>
        <w:left w:val="none" w:sz="0" w:space="0" w:color="auto"/>
        <w:bottom w:val="none" w:sz="0" w:space="0" w:color="auto"/>
        <w:right w:val="none" w:sz="0" w:space="0" w:color="auto"/>
      </w:divBdr>
    </w:div>
    <w:div w:id="1379546235">
      <w:bodyDiv w:val="1"/>
      <w:marLeft w:val="0"/>
      <w:marRight w:val="0"/>
      <w:marTop w:val="0"/>
      <w:marBottom w:val="0"/>
      <w:divBdr>
        <w:top w:val="none" w:sz="0" w:space="0" w:color="auto"/>
        <w:left w:val="none" w:sz="0" w:space="0" w:color="auto"/>
        <w:bottom w:val="none" w:sz="0" w:space="0" w:color="auto"/>
        <w:right w:val="none" w:sz="0" w:space="0" w:color="auto"/>
      </w:divBdr>
    </w:div>
    <w:div w:id="1380125119">
      <w:bodyDiv w:val="1"/>
      <w:marLeft w:val="0"/>
      <w:marRight w:val="0"/>
      <w:marTop w:val="0"/>
      <w:marBottom w:val="0"/>
      <w:divBdr>
        <w:top w:val="none" w:sz="0" w:space="0" w:color="auto"/>
        <w:left w:val="none" w:sz="0" w:space="0" w:color="auto"/>
        <w:bottom w:val="none" w:sz="0" w:space="0" w:color="auto"/>
        <w:right w:val="none" w:sz="0" w:space="0" w:color="auto"/>
      </w:divBdr>
    </w:div>
    <w:div w:id="1385717863">
      <w:bodyDiv w:val="1"/>
      <w:marLeft w:val="0"/>
      <w:marRight w:val="0"/>
      <w:marTop w:val="0"/>
      <w:marBottom w:val="0"/>
      <w:divBdr>
        <w:top w:val="none" w:sz="0" w:space="0" w:color="auto"/>
        <w:left w:val="none" w:sz="0" w:space="0" w:color="auto"/>
        <w:bottom w:val="none" w:sz="0" w:space="0" w:color="auto"/>
        <w:right w:val="none" w:sz="0" w:space="0" w:color="auto"/>
      </w:divBdr>
    </w:div>
    <w:div w:id="1386300206">
      <w:bodyDiv w:val="1"/>
      <w:marLeft w:val="0"/>
      <w:marRight w:val="0"/>
      <w:marTop w:val="0"/>
      <w:marBottom w:val="0"/>
      <w:divBdr>
        <w:top w:val="none" w:sz="0" w:space="0" w:color="auto"/>
        <w:left w:val="none" w:sz="0" w:space="0" w:color="auto"/>
        <w:bottom w:val="none" w:sz="0" w:space="0" w:color="auto"/>
        <w:right w:val="none" w:sz="0" w:space="0" w:color="auto"/>
      </w:divBdr>
    </w:div>
    <w:div w:id="1388798753">
      <w:bodyDiv w:val="1"/>
      <w:marLeft w:val="0"/>
      <w:marRight w:val="0"/>
      <w:marTop w:val="0"/>
      <w:marBottom w:val="0"/>
      <w:divBdr>
        <w:top w:val="none" w:sz="0" w:space="0" w:color="auto"/>
        <w:left w:val="none" w:sz="0" w:space="0" w:color="auto"/>
        <w:bottom w:val="none" w:sz="0" w:space="0" w:color="auto"/>
        <w:right w:val="none" w:sz="0" w:space="0" w:color="auto"/>
      </w:divBdr>
    </w:div>
    <w:div w:id="1390690160">
      <w:bodyDiv w:val="1"/>
      <w:marLeft w:val="0"/>
      <w:marRight w:val="0"/>
      <w:marTop w:val="0"/>
      <w:marBottom w:val="0"/>
      <w:divBdr>
        <w:top w:val="none" w:sz="0" w:space="0" w:color="auto"/>
        <w:left w:val="none" w:sz="0" w:space="0" w:color="auto"/>
        <w:bottom w:val="none" w:sz="0" w:space="0" w:color="auto"/>
        <w:right w:val="none" w:sz="0" w:space="0" w:color="auto"/>
      </w:divBdr>
    </w:div>
    <w:div w:id="1391541670">
      <w:bodyDiv w:val="1"/>
      <w:marLeft w:val="0"/>
      <w:marRight w:val="0"/>
      <w:marTop w:val="0"/>
      <w:marBottom w:val="0"/>
      <w:divBdr>
        <w:top w:val="none" w:sz="0" w:space="0" w:color="auto"/>
        <w:left w:val="none" w:sz="0" w:space="0" w:color="auto"/>
        <w:bottom w:val="none" w:sz="0" w:space="0" w:color="auto"/>
        <w:right w:val="none" w:sz="0" w:space="0" w:color="auto"/>
      </w:divBdr>
    </w:div>
    <w:div w:id="1395664117">
      <w:bodyDiv w:val="1"/>
      <w:marLeft w:val="0"/>
      <w:marRight w:val="0"/>
      <w:marTop w:val="0"/>
      <w:marBottom w:val="0"/>
      <w:divBdr>
        <w:top w:val="none" w:sz="0" w:space="0" w:color="auto"/>
        <w:left w:val="none" w:sz="0" w:space="0" w:color="auto"/>
        <w:bottom w:val="none" w:sz="0" w:space="0" w:color="auto"/>
        <w:right w:val="none" w:sz="0" w:space="0" w:color="auto"/>
      </w:divBdr>
    </w:div>
    <w:div w:id="1397512826">
      <w:bodyDiv w:val="1"/>
      <w:marLeft w:val="0"/>
      <w:marRight w:val="0"/>
      <w:marTop w:val="0"/>
      <w:marBottom w:val="0"/>
      <w:divBdr>
        <w:top w:val="none" w:sz="0" w:space="0" w:color="auto"/>
        <w:left w:val="none" w:sz="0" w:space="0" w:color="auto"/>
        <w:bottom w:val="none" w:sz="0" w:space="0" w:color="auto"/>
        <w:right w:val="none" w:sz="0" w:space="0" w:color="auto"/>
      </w:divBdr>
    </w:div>
    <w:div w:id="1401900050">
      <w:bodyDiv w:val="1"/>
      <w:marLeft w:val="0"/>
      <w:marRight w:val="0"/>
      <w:marTop w:val="0"/>
      <w:marBottom w:val="0"/>
      <w:divBdr>
        <w:top w:val="none" w:sz="0" w:space="0" w:color="auto"/>
        <w:left w:val="none" w:sz="0" w:space="0" w:color="auto"/>
        <w:bottom w:val="none" w:sz="0" w:space="0" w:color="auto"/>
        <w:right w:val="none" w:sz="0" w:space="0" w:color="auto"/>
      </w:divBdr>
    </w:div>
    <w:div w:id="1407534063">
      <w:bodyDiv w:val="1"/>
      <w:marLeft w:val="0"/>
      <w:marRight w:val="0"/>
      <w:marTop w:val="0"/>
      <w:marBottom w:val="0"/>
      <w:divBdr>
        <w:top w:val="none" w:sz="0" w:space="0" w:color="auto"/>
        <w:left w:val="none" w:sz="0" w:space="0" w:color="auto"/>
        <w:bottom w:val="none" w:sz="0" w:space="0" w:color="auto"/>
        <w:right w:val="none" w:sz="0" w:space="0" w:color="auto"/>
      </w:divBdr>
    </w:div>
    <w:div w:id="1410931683">
      <w:bodyDiv w:val="1"/>
      <w:marLeft w:val="0"/>
      <w:marRight w:val="0"/>
      <w:marTop w:val="0"/>
      <w:marBottom w:val="0"/>
      <w:divBdr>
        <w:top w:val="none" w:sz="0" w:space="0" w:color="auto"/>
        <w:left w:val="none" w:sz="0" w:space="0" w:color="auto"/>
        <w:bottom w:val="none" w:sz="0" w:space="0" w:color="auto"/>
        <w:right w:val="none" w:sz="0" w:space="0" w:color="auto"/>
      </w:divBdr>
    </w:div>
    <w:div w:id="1413970767">
      <w:bodyDiv w:val="1"/>
      <w:marLeft w:val="0"/>
      <w:marRight w:val="0"/>
      <w:marTop w:val="0"/>
      <w:marBottom w:val="0"/>
      <w:divBdr>
        <w:top w:val="none" w:sz="0" w:space="0" w:color="auto"/>
        <w:left w:val="none" w:sz="0" w:space="0" w:color="auto"/>
        <w:bottom w:val="none" w:sz="0" w:space="0" w:color="auto"/>
        <w:right w:val="none" w:sz="0" w:space="0" w:color="auto"/>
      </w:divBdr>
    </w:div>
    <w:div w:id="1424956817">
      <w:bodyDiv w:val="1"/>
      <w:marLeft w:val="0"/>
      <w:marRight w:val="0"/>
      <w:marTop w:val="0"/>
      <w:marBottom w:val="0"/>
      <w:divBdr>
        <w:top w:val="none" w:sz="0" w:space="0" w:color="auto"/>
        <w:left w:val="none" w:sz="0" w:space="0" w:color="auto"/>
        <w:bottom w:val="none" w:sz="0" w:space="0" w:color="auto"/>
        <w:right w:val="none" w:sz="0" w:space="0" w:color="auto"/>
      </w:divBdr>
    </w:div>
    <w:div w:id="1427190182">
      <w:bodyDiv w:val="1"/>
      <w:marLeft w:val="0"/>
      <w:marRight w:val="0"/>
      <w:marTop w:val="0"/>
      <w:marBottom w:val="0"/>
      <w:divBdr>
        <w:top w:val="none" w:sz="0" w:space="0" w:color="auto"/>
        <w:left w:val="none" w:sz="0" w:space="0" w:color="auto"/>
        <w:bottom w:val="none" w:sz="0" w:space="0" w:color="auto"/>
        <w:right w:val="none" w:sz="0" w:space="0" w:color="auto"/>
      </w:divBdr>
    </w:div>
    <w:div w:id="1434320952">
      <w:bodyDiv w:val="1"/>
      <w:marLeft w:val="0"/>
      <w:marRight w:val="0"/>
      <w:marTop w:val="0"/>
      <w:marBottom w:val="0"/>
      <w:divBdr>
        <w:top w:val="none" w:sz="0" w:space="0" w:color="auto"/>
        <w:left w:val="none" w:sz="0" w:space="0" w:color="auto"/>
        <w:bottom w:val="none" w:sz="0" w:space="0" w:color="auto"/>
        <w:right w:val="none" w:sz="0" w:space="0" w:color="auto"/>
      </w:divBdr>
    </w:div>
    <w:div w:id="1438210630">
      <w:bodyDiv w:val="1"/>
      <w:marLeft w:val="0"/>
      <w:marRight w:val="0"/>
      <w:marTop w:val="0"/>
      <w:marBottom w:val="0"/>
      <w:divBdr>
        <w:top w:val="none" w:sz="0" w:space="0" w:color="auto"/>
        <w:left w:val="none" w:sz="0" w:space="0" w:color="auto"/>
        <w:bottom w:val="none" w:sz="0" w:space="0" w:color="auto"/>
        <w:right w:val="none" w:sz="0" w:space="0" w:color="auto"/>
      </w:divBdr>
    </w:div>
    <w:div w:id="1443722659">
      <w:bodyDiv w:val="1"/>
      <w:marLeft w:val="0"/>
      <w:marRight w:val="0"/>
      <w:marTop w:val="0"/>
      <w:marBottom w:val="0"/>
      <w:divBdr>
        <w:top w:val="none" w:sz="0" w:space="0" w:color="auto"/>
        <w:left w:val="none" w:sz="0" w:space="0" w:color="auto"/>
        <w:bottom w:val="none" w:sz="0" w:space="0" w:color="auto"/>
        <w:right w:val="none" w:sz="0" w:space="0" w:color="auto"/>
      </w:divBdr>
    </w:div>
    <w:div w:id="1445030750">
      <w:bodyDiv w:val="1"/>
      <w:marLeft w:val="0"/>
      <w:marRight w:val="0"/>
      <w:marTop w:val="0"/>
      <w:marBottom w:val="0"/>
      <w:divBdr>
        <w:top w:val="none" w:sz="0" w:space="0" w:color="auto"/>
        <w:left w:val="none" w:sz="0" w:space="0" w:color="auto"/>
        <w:bottom w:val="none" w:sz="0" w:space="0" w:color="auto"/>
        <w:right w:val="none" w:sz="0" w:space="0" w:color="auto"/>
      </w:divBdr>
    </w:div>
    <w:div w:id="1446653214">
      <w:bodyDiv w:val="1"/>
      <w:marLeft w:val="0"/>
      <w:marRight w:val="0"/>
      <w:marTop w:val="0"/>
      <w:marBottom w:val="0"/>
      <w:divBdr>
        <w:top w:val="none" w:sz="0" w:space="0" w:color="auto"/>
        <w:left w:val="none" w:sz="0" w:space="0" w:color="auto"/>
        <w:bottom w:val="none" w:sz="0" w:space="0" w:color="auto"/>
        <w:right w:val="none" w:sz="0" w:space="0" w:color="auto"/>
      </w:divBdr>
    </w:div>
    <w:div w:id="1453747397">
      <w:bodyDiv w:val="1"/>
      <w:marLeft w:val="0"/>
      <w:marRight w:val="0"/>
      <w:marTop w:val="0"/>
      <w:marBottom w:val="0"/>
      <w:divBdr>
        <w:top w:val="none" w:sz="0" w:space="0" w:color="auto"/>
        <w:left w:val="none" w:sz="0" w:space="0" w:color="auto"/>
        <w:bottom w:val="none" w:sz="0" w:space="0" w:color="auto"/>
        <w:right w:val="none" w:sz="0" w:space="0" w:color="auto"/>
      </w:divBdr>
    </w:div>
    <w:div w:id="1455907937">
      <w:bodyDiv w:val="1"/>
      <w:marLeft w:val="0"/>
      <w:marRight w:val="0"/>
      <w:marTop w:val="0"/>
      <w:marBottom w:val="0"/>
      <w:divBdr>
        <w:top w:val="none" w:sz="0" w:space="0" w:color="auto"/>
        <w:left w:val="none" w:sz="0" w:space="0" w:color="auto"/>
        <w:bottom w:val="none" w:sz="0" w:space="0" w:color="auto"/>
        <w:right w:val="none" w:sz="0" w:space="0" w:color="auto"/>
      </w:divBdr>
    </w:div>
    <w:div w:id="1458373383">
      <w:bodyDiv w:val="1"/>
      <w:marLeft w:val="0"/>
      <w:marRight w:val="0"/>
      <w:marTop w:val="0"/>
      <w:marBottom w:val="0"/>
      <w:divBdr>
        <w:top w:val="none" w:sz="0" w:space="0" w:color="auto"/>
        <w:left w:val="none" w:sz="0" w:space="0" w:color="auto"/>
        <w:bottom w:val="none" w:sz="0" w:space="0" w:color="auto"/>
        <w:right w:val="none" w:sz="0" w:space="0" w:color="auto"/>
      </w:divBdr>
    </w:div>
    <w:div w:id="1464538759">
      <w:bodyDiv w:val="1"/>
      <w:marLeft w:val="0"/>
      <w:marRight w:val="0"/>
      <w:marTop w:val="0"/>
      <w:marBottom w:val="0"/>
      <w:divBdr>
        <w:top w:val="none" w:sz="0" w:space="0" w:color="auto"/>
        <w:left w:val="none" w:sz="0" w:space="0" w:color="auto"/>
        <w:bottom w:val="none" w:sz="0" w:space="0" w:color="auto"/>
        <w:right w:val="none" w:sz="0" w:space="0" w:color="auto"/>
      </w:divBdr>
    </w:div>
    <w:div w:id="1473133004">
      <w:bodyDiv w:val="1"/>
      <w:marLeft w:val="0"/>
      <w:marRight w:val="0"/>
      <w:marTop w:val="0"/>
      <w:marBottom w:val="0"/>
      <w:divBdr>
        <w:top w:val="none" w:sz="0" w:space="0" w:color="auto"/>
        <w:left w:val="none" w:sz="0" w:space="0" w:color="auto"/>
        <w:bottom w:val="none" w:sz="0" w:space="0" w:color="auto"/>
        <w:right w:val="none" w:sz="0" w:space="0" w:color="auto"/>
      </w:divBdr>
    </w:div>
    <w:div w:id="1483619132">
      <w:bodyDiv w:val="1"/>
      <w:marLeft w:val="0"/>
      <w:marRight w:val="0"/>
      <w:marTop w:val="0"/>
      <w:marBottom w:val="0"/>
      <w:divBdr>
        <w:top w:val="none" w:sz="0" w:space="0" w:color="auto"/>
        <w:left w:val="none" w:sz="0" w:space="0" w:color="auto"/>
        <w:bottom w:val="none" w:sz="0" w:space="0" w:color="auto"/>
        <w:right w:val="none" w:sz="0" w:space="0" w:color="auto"/>
      </w:divBdr>
    </w:div>
    <w:div w:id="1497914517">
      <w:bodyDiv w:val="1"/>
      <w:marLeft w:val="0"/>
      <w:marRight w:val="0"/>
      <w:marTop w:val="0"/>
      <w:marBottom w:val="0"/>
      <w:divBdr>
        <w:top w:val="none" w:sz="0" w:space="0" w:color="auto"/>
        <w:left w:val="none" w:sz="0" w:space="0" w:color="auto"/>
        <w:bottom w:val="none" w:sz="0" w:space="0" w:color="auto"/>
        <w:right w:val="none" w:sz="0" w:space="0" w:color="auto"/>
      </w:divBdr>
    </w:div>
    <w:div w:id="1499080678">
      <w:bodyDiv w:val="1"/>
      <w:marLeft w:val="0"/>
      <w:marRight w:val="0"/>
      <w:marTop w:val="0"/>
      <w:marBottom w:val="0"/>
      <w:divBdr>
        <w:top w:val="none" w:sz="0" w:space="0" w:color="auto"/>
        <w:left w:val="none" w:sz="0" w:space="0" w:color="auto"/>
        <w:bottom w:val="none" w:sz="0" w:space="0" w:color="auto"/>
        <w:right w:val="none" w:sz="0" w:space="0" w:color="auto"/>
      </w:divBdr>
    </w:div>
    <w:div w:id="1499494462">
      <w:bodyDiv w:val="1"/>
      <w:marLeft w:val="0"/>
      <w:marRight w:val="0"/>
      <w:marTop w:val="0"/>
      <w:marBottom w:val="0"/>
      <w:divBdr>
        <w:top w:val="none" w:sz="0" w:space="0" w:color="auto"/>
        <w:left w:val="none" w:sz="0" w:space="0" w:color="auto"/>
        <w:bottom w:val="none" w:sz="0" w:space="0" w:color="auto"/>
        <w:right w:val="none" w:sz="0" w:space="0" w:color="auto"/>
      </w:divBdr>
    </w:div>
    <w:div w:id="1504973231">
      <w:bodyDiv w:val="1"/>
      <w:marLeft w:val="0"/>
      <w:marRight w:val="0"/>
      <w:marTop w:val="0"/>
      <w:marBottom w:val="0"/>
      <w:divBdr>
        <w:top w:val="none" w:sz="0" w:space="0" w:color="auto"/>
        <w:left w:val="none" w:sz="0" w:space="0" w:color="auto"/>
        <w:bottom w:val="none" w:sz="0" w:space="0" w:color="auto"/>
        <w:right w:val="none" w:sz="0" w:space="0" w:color="auto"/>
      </w:divBdr>
    </w:div>
    <w:div w:id="1510949422">
      <w:bodyDiv w:val="1"/>
      <w:marLeft w:val="0"/>
      <w:marRight w:val="0"/>
      <w:marTop w:val="0"/>
      <w:marBottom w:val="0"/>
      <w:divBdr>
        <w:top w:val="none" w:sz="0" w:space="0" w:color="auto"/>
        <w:left w:val="none" w:sz="0" w:space="0" w:color="auto"/>
        <w:bottom w:val="none" w:sz="0" w:space="0" w:color="auto"/>
        <w:right w:val="none" w:sz="0" w:space="0" w:color="auto"/>
      </w:divBdr>
    </w:div>
    <w:div w:id="1515877083">
      <w:bodyDiv w:val="1"/>
      <w:marLeft w:val="0"/>
      <w:marRight w:val="0"/>
      <w:marTop w:val="0"/>
      <w:marBottom w:val="0"/>
      <w:divBdr>
        <w:top w:val="none" w:sz="0" w:space="0" w:color="auto"/>
        <w:left w:val="none" w:sz="0" w:space="0" w:color="auto"/>
        <w:bottom w:val="none" w:sz="0" w:space="0" w:color="auto"/>
        <w:right w:val="none" w:sz="0" w:space="0" w:color="auto"/>
      </w:divBdr>
    </w:div>
    <w:div w:id="1520584524">
      <w:bodyDiv w:val="1"/>
      <w:marLeft w:val="0"/>
      <w:marRight w:val="0"/>
      <w:marTop w:val="0"/>
      <w:marBottom w:val="0"/>
      <w:divBdr>
        <w:top w:val="none" w:sz="0" w:space="0" w:color="auto"/>
        <w:left w:val="none" w:sz="0" w:space="0" w:color="auto"/>
        <w:bottom w:val="none" w:sz="0" w:space="0" w:color="auto"/>
        <w:right w:val="none" w:sz="0" w:space="0" w:color="auto"/>
      </w:divBdr>
    </w:div>
    <w:div w:id="1527867947">
      <w:bodyDiv w:val="1"/>
      <w:marLeft w:val="0"/>
      <w:marRight w:val="0"/>
      <w:marTop w:val="0"/>
      <w:marBottom w:val="0"/>
      <w:divBdr>
        <w:top w:val="none" w:sz="0" w:space="0" w:color="auto"/>
        <w:left w:val="none" w:sz="0" w:space="0" w:color="auto"/>
        <w:bottom w:val="none" w:sz="0" w:space="0" w:color="auto"/>
        <w:right w:val="none" w:sz="0" w:space="0" w:color="auto"/>
      </w:divBdr>
    </w:div>
    <w:div w:id="1531214248">
      <w:bodyDiv w:val="1"/>
      <w:marLeft w:val="0"/>
      <w:marRight w:val="0"/>
      <w:marTop w:val="0"/>
      <w:marBottom w:val="0"/>
      <w:divBdr>
        <w:top w:val="none" w:sz="0" w:space="0" w:color="auto"/>
        <w:left w:val="none" w:sz="0" w:space="0" w:color="auto"/>
        <w:bottom w:val="none" w:sz="0" w:space="0" w:color="auto"/>
        <w:right w:val="none" w:sz="0" w:space="0" w:color="auto"/>
      </w:divBdr>
    </w:div>
    <w:div w:id="1534614371">
      <w:bodyDiv w:val="1"/>
      <w:marLeft w:val="0"/>
      <w:marRight w:val="0"/>
      <w:marTop w:val="0"/>
      <w:marBottom w:val="0"/>
      <w:divBdr>
        <w:top w:val="none" w:sz="0" w:space="0" w:color="auto"/>
        <w:left w:val="none" w:sz="0" w:space="0" w:color="auto"/>
        <w:bottom w:val="none" w:sz="0" w:space="0" w:color="auto"/>
        <w:right w:val="none" w:sz="0" w:space="0" w:color="auto"/>
      </w:divBdr>
    </w:div>
    <w:div w:id="1542546799">
      <w:bodyDiv w:val="1"/>
      <w:marLeft w:val="0"/>
      <w:marRight w:val="0"/>
      <w:marTop w:val="0"/>
      <w:marBottom w:val="0"/>
      <w:divBdr>
        <w:top w:val="none" w:sz="0" w:space="0" w:color="auto"/>
        <w:left w:val="none" w:sz="0" w:space="0" w:color="auto"/>
        <w:bottom w:val="none" w:sz="0" w:space="0" w:color="auto"/>
        <w:right w:val="none" w:sz="0" w:space="0" w:color="auto"/>
      </w:divBdr>
    </w:div>
    <w:div w:id="1546257359">
      <w:bodyDiv w:val="1"/>
      <w:marLeft w:val="0"/>
      <w:marRight w:val="0"/>
      <w:marTop w:val="0"/>
      <w:marBottom w:val="0"/>
      <w:divBdr>
        <w:top w:val="none" w:sz="0" w:space="0" w:color="auto"/>
        <w:left w:val="none" w:sz="0" w:space="0" w:color="auto"/>
        <w:bottom w:val="none" w:sz="0" w:space="0" w:color="auto"/>
        <w:right w:val="none" w:sz="0" w:space="0" w:color="auto"/>
      </w:divBdr>
    </w:div>
    <w:div w:id="1548685472">
      <w:bodyDiv w:val="1"/>
      <w:marLeft w:val="0"/>
      <w:marRight w:val="0"/>
      <w:marTop w:val="0"/>
      <w:marBottom w:val="0"/>
      <w:divBdr>
        <w:top w:val="none" w:sz="0" w:space="0" w:color="auto"/>
        <w:left w:val="none" w:sz="0" w:space="0" w:color="auto"/>
        <w:bottom w:val="none" w:sz="0" w:space="0" w:color="auto"/>
        <w:right w:val="none" w:sz="0" w:space="0" w:color="auto"/>
      </w:divBdr>
    </w:div>
    <w:div w:id="1549300002">
      <w:bodyDiv w:val="1"/>
      <w:marLeft w:val="0"/>
      <w:marRight w:val="0"/>
      <w:marTop w:val="0"/>
      <w:marBottom w:val="0"/>
      <w:divBdr>
        <w:top w:val="none" w:sz="0" w:space="0" w:color="auto"/>
        <w:left w:val="none" w:sz="0" w:space="0" w:color="auto"/>
        <w:bottom w:val="none" w:sz="0" w:space="0" w:color="auto"/>
        <w:right w:val="none" w:sz="0" w:space="0" w:color="auto"/>
      </w:divBdr>
    </w:div>
    <w:div w:id="1555628425">
      <w:bodyDiv w:val="1"/>
      <w:marLeft w:val="0"/>
      <w:marRight w:val="0"/>
      <w:marTop w:val="0"/>
      <w:marBottom w:val="0"/>
      <w:divBdr>
        <w:top w:val="none" w:sz="0" w:space="0" w:color="auto"/>
        <w:left w:val="none" w:sz="0" w:space="0" w:color="auto"/>
        <w:bottom w:val="none" w:sz="0" w:space="0" w:color="auto"/>
        <w:right w:val="none" w:sz="0" w:space="0" w:color="auto"/>
      </w:divBdr>
    </w:div>
    <w:div w:id="1556700110">
      <w:bodyDiv w:val="1"/>
      <w:marLeft w:val="0"/>
      <w:marRight w:val="0"/>
      <w:marTop w:val="0"/>
      <w:marBottom w:val="0"/>
      <w:divBdr>
        <w:top w:val="none" w:sz="0" w:space="0" w:color="auto"/>
        <w:left w:val="none" w:sz="0" w:space="0" w:color="auto"/>
        <w:bottom w:val="none" w:sz="0" w:space="0" w:color="auto"/>
        <w:right w:val="none" w:sz="0" w:space="0" w:color="auto"/>
      </w:divBdr>
    </w:div>
    <w:div w:id="1558316462">
      <w:bodyDiv w:val="1"/>
      <w:marLeft w:val="0"/>
      <w:marRight w:val="0"/>
      <w:marTop w:val="0"/>
      <w:marBottom w:val="0"/>
      <w:divBdr>
        <w:top w:val="none" w:sz="0" w:space="0" w:color="auto"/>
        <w:left w:val="none" w:sz="0" w:space="0" w:color="auto"/>
        <w:bottom w:val="none" w:sz="0" w:space="0" w:color="auto"/>
        <w:right w:val="none" w:sz="0" w:space="0" w:color="auto"/>
      </w:divBdr>
    </w:div>
    <w:div w:id="1562793720">
      <w:bodyDiv w:val="1"/>
      <w:marLeft w:val="0"/>
      <w:marRight w:val="0"/>
      <w:marTop w:val="0"/>
      <w:marBottom w:val="0"/>
      <w:divBdr>
        <w:top w:val="none" w:sz="0" w:space="0" w:color="auto"/>
        <w:left w:val="none" w:sz="0" w:space="0" w:color="auto"/>
        <w:bottom w:val="none" w:sz="0" w:space="0" w:color="auto"/>
        <w:right w:val="none" w:sz="0" w:space="0" w:color="auto"/>
      </w:divBdr>
    </w:div>
    <w:div w:id="1566718198">
      <w:bodyDiv w:val="1"/>
      <w:marLeft w:val="0"/>
      <w:marRight w:val="0"/>
      <w:marTop w:val="0"/>
      <w:marBottom w:val="0"/>
      <w:divBdr>
        <w:top w:val="none" w:sz="0" w:space="0" w:color="auto"/>
        <w:left w:val="none" w:sz="0" w:space="0" w:color="auto"/>
        <w:bottom w:val="none" w:sz="0" w:space="0" w:color="auto"/>
        <w:right w:val="none" w:sz="0" w:space="0" w:color="auto"/>
      </w:divBdr>
    </w:div>
    <w:div w:id="1569459248">
      <w:bodyDiv w:val="1"/>
      <w:marLeft w:val="0"/>
      <w:marRight w:val="0"/>
      <w:marTop w:val="0"/>
      <w:marBottom w:val="0"/>
      <w:divBdr>
        <w:top w:val="none" w:sz="0" w:space="0" w:color="auto"/>
        <w:left w:val="none" w:sz="0" w:space="0" w:color="auto"/>
        <w:bottom w:val="none" w:sz="0" w:space="0" w:color="auto"/>
        <w:right w:val="none" w:sz="0" w:space="0" w:color="auto"/>
      </w:divBdr>
    </w:div>
    <w:div w:id="1570310866">
      <w:bodyDiv w:val="1"/>
      <w:marLeft w:val="0"/>
      <w:marRight w:val="0"/>
      <w:marTop w:val="0"/>
      <w:marBottom w:val="0"/>
      <w:divBdr>
        <w:top w:val="none" w:sz="0" w:space="0" w:color="auto"/>
        <w:left w:val="none" w:sz="0" w:space="0" w:color="auto"/>
        <w:bottom w:val="none" w:sz="0" w:space="0" w:color="auto"/>
        <w:right w:val="none" w:sz="0" w:space="0" w:color="auto"/>
      </w:divBdr>
    </w:div>
    <w:div w:id="1572080630">
      <w:bodyDiv w:val="1"/>
      <w:marLeft w:val="0"/>
      <w:marRight w:val="0"/>
      <w:marTop w:val="0"/>
      <w:marBottom w:val="0"/>
      <w:divBdr>
        <w:top w:val="none" w:sz="0" w:space="0" w:color="auto"/>
        <w:left w:val="none" w:sz="0" w:space="0" w:color="auto"/>
        <w:bottom w:val="none" w:sz="0" w:space="0" w:color="auto"/>
        <w:right w:val="none" w:sz="0" w:space="0" w:color="auto"/>
      </w:divBdr>
    </w:div>
    <w:div w:id="1577477565">
      <w:bodyDiv w:val="1"/>
      <w:marLeft w:val="0"/>
      <w:marRight w:val="0"/>
      <w:marTop w:val="0"/>
      <w:marBottom w:val="0"/>
      <w:divBdr>
        <w:top w:val="none" w:sz="0" w:space="0" w:color="auto"/>
        <w:left w:val="none" w:sz="0" w:space="0" w:color="auto"/>
        <w:bottom w:val="none" w:sz="0" w:space="0" w:color="auto"/>
        <w:right w:val="none" w:sz="0" w:space="0" w:color="auto"/>
      </w:divBdr>
    </w:div>
    <w:div w:id="1601794258">
      <w:bodyDiv w:val="1"/>
      <w:marLeft w:val="0"/>
      <w:marRight w:val="0"/>
      <w:marTop w:val="0"/>
      <w:marBottom w:val="0"/>
      <w:divBdr>
        <w:top w:val="none" w:sz="0" w:space="0" w:color="auto"/>
        <w:left w:val="none" w:sz="0" w:space="0" w:color="auto"/>
        <w:bottom w:val="none" w:sz="0" w:space="0" w:color="auto"/>
        <w:right w:val="none" w:sz="0" w:space="0" w:color="auto"/>
      </w:divBdr>
    </w:div>
    <w:div w:id="1603419374">
      <w:bodyDiv w:val="1"/>
      <w:marLeft w:val="0"/>
      <w:marRight w:val="0"/>
      <w:marTop w:val="0"/>
      <w:marBottom w:val="0"/>
      <w:divBdr>
        <w:top w:val="none" w:sz="0" w:space="0" w:color="auto"/>
        <w:left w:val="none" w:sz="0" w:space="0" w:color="auto"/>
        <w:bottom w:val="none" w:sz="0" w:space="0" w:color="auto"/>
        <w:right w:val="none" w:sz="0" w:space="0" w:color="auto"/>
      </w:divBdr>
    </w:div>
    <w:div w:id="1605960654">
      <w:bodyDiv w:val="1"/>
      <w:marLeft w:val="0"/>
      <w:marRight w:val="0"/>
      <w:marTop w:val="0"/>
      <w:marBottom w:val="0"/>
      <w:divBdr>
        <w:top w:val="none" w:sz="0" w:space="0" w:color="auto"/>
        <w:left w:val="none" w:sz="0" w:space="0" w:color="auto"/>
        <w:bottom w:val="none" w:sz="0" w:space="0" w:color="auto"/>
        <w:right w:val="none" w:sz="0" w:space="0" w:color="auto"/>
      </w:divBdr>
    </w:div>
    <w:div w:id="1608654764">
      <w:bodyDiv w:val="1"/>
      <w:marLeft w:val="0"/>
      <w:marRight w:val="0"/>
      <w:marTop w:val="0"/>
      <w:marBottom w:val="0"/>
      <w:divBdr>
        <w:top w:val="none" w:sz="0" w:space="0" w:color="auto"/>
        <w:left w:val="none" w:sz="0" w:space="0" w:color="auto"/>
        <w:bottom w:val="none" w:sz="0" w:space="0" w:color="auto"/>
        <w:right w:val="none" w:sz="0" w:space="0" w:color="auto"/>
      </w:divBdr>
    </w:div>
    <w:div w:id="1614631309">
      <w:bodyDiv w:val="1"/>
      <w:marLeft w:val="0"/>
      <w:marRight w:val="0"/>
      <w:marTop w:val="0"/>
      <w:marBottom w:val="0"/>
      <w:divBdr>
        <w:top w:val="none" w:sz="0" w:space="0" w:color="auto"/>
        <w:left w:val="none" w:sz="0" w:space="0" w:color="auto"/>
        <w:bottom w:val="none" w:sz="0" w:space="0" w:color="auto"/>
        <w:right w:val="none" w:sz="0" w:space="0" w:color="auto"/>
      </w:divBdr>
    </w:div>
    <w:div w:id="1615598236">
      <w:bodyDiv w:val="1"/>
      <w:marLeft w:val="0"/>
      <w:marRight w:val="0"/>
      <w:marTop w:val="0"/>
      <w:marBottom w:val="0"/>
      <w:divBdr>
        <w:top w:val="none" w:sz="0" w:space="0" w:color="auto"/>
        <w:left w:val="none" w:sz="0" w:space="0" w:color="auto"/>
        <w:bottom w:val="none" w:sz="0" w:space="0" w:color="auto"/>
        <w:right w:val="none" w:sz="0" w:space="0" w:color="auto"/>
      </w:divBdr>
    </w:div>
    <w:div w:id="1618173000">
      <w:bodyDiv w:val="1"/>
      <w:marLeft w:val="0"/>
      <w:marRight w:val="0"/>
      <w:marTop w:val="0"/>
      <w:marBottom w:val="0"/>
      <w:divBdr>
        <w:top w:val="none" w:sz="0" w:space="0" w:color="auto"/>
        <w:left w:val="none" w:sz="0" w:space="0" w:color="auto"/>
        <w:bottom w:val="none" w:sz="0" w:space="0" w:color="auto"/>
        <w:right w:val="none" w:sz="0" w:space="0" w:color="auto"/>
      </w:divBdr>
    </w:div>
    <w:div w:id="1623538953">
      <w:bodyDiv w:val="1"/>
      <w:marLeft w:val="0"/>
      <w:marRight w:val="0"/>
      <w:marTop w:val="0"/>
      <w:marBottom w:val="0"/>
      <w:divBdr>
        <w:top w:val="none" w:sz="0" w:space="0" w:color="auto"/>
        <w:left w:val="none" w:sz="0" w:space="0" w:color="auto"/>
        <w:bottom w:val="none" w:sz="0" w:space="0" w:color="auto"/>
        <w:right w:val="none" w:sz="0" w:space="0" w:color="auto"/>
      </w:divBdr>
    </w:div>
    <w:div w:id="1623999835">
      <w:bodyDiv w:val="1"/>
      <w:marLeft w:val="0"/>
      <w:marRight w:val="0"/>
      <w:marTop w:val="0"/>
      <w:marBottom w:val="0"/>
      <w:divBdr>
        <w:top w:val="none" w:sz="0" w:space="0" w:color="auto"/>
        <w:left w:val="none" w:sz="0" w:space="0" w:color="auto"/>
        <w:bottom w:val="none" w:sz="0" w:space="0" w:color="auto"/>
        <w:right w:val="none" w:sz="0" w:space="0" w:color="auto"/>
      </w:divBdr>
    </w:div>
    <w:div w:id="1625766255">
      <w:bodyDiv w:val="1"/>
      <w:marLeft w:val="0"/>
      <w:marRight w:val="0"/>
      <w:marTop w:val="0"/>
      <w:marBottom w:val="0"/>
      <w:divBdr>
        <w:top w:val="none" w:sz="0" w:space="0" w:color="auto"/>
        <w:left w:val="none" w:sz="0" w:space="0" w:color="auto"/>
        <w:bottom w:val="none" w:sz="0" w:space="0" w:color="auto"/>
        <w:right w:val="none" w:sz="0" w:space="0" w:color="auto"/>
      </w:divBdr>
    </w:div>
    <w:div w:id="1626816346">
      <w:bodyDiv w:val="1"/>
      <w:marLeft w:val="0"/>
      <w:marRight w:val="0"/>
      <w:marTop w:val="0"/>
      <w:marBottom w:val="0"/>
      <w:divBdr>
        <w:top w:val="none" w:sz="0" w:space="0" w:color="auto"/>
        <w:left w:val="none" w:sz="0" w:space="0" w:color="auto"/>
        <w:bottom w:val="none" w:sz="0" w:space="0" w:color="auto"/>
        <w:right w:val="none" w:sz="0" w:space="0" w:color="auto"/>
      </w:divBdr>
    </w:div>
    <w:div w:id="1634410575">
      <w:bodyDiv w:val="1"/>
      <w:marLeft w:val="0"/>
      <w:marRight w:val="0"/>
      <w:marTop w:val="0"/>
      <w:marBottom w:val="0"/>
      <w:divBdr>
        <w:top w:val="none" w:sz="0" w:space="0" w:color="auto"/>
        <w:left w:val="none" w:sz="0" w:space="0" w:color="auto"/>
        <w:bottom w:val="none" w:sz="0" w:space="0" w:color="auto"/>
        <w:right w:val="none" w:sz="0" w:space="0" w:color="auto"/>
      </w:divBdr>
    </w:div>
    <w:div w:id="1641954335">
      <w:bodyDiv w:val="1"/>
      <w:marLeft w:val="0"/>
      <w:marRight w:val="0"/>
      <w:marTop w:val="0"/>
      <w:marBottom w:val="0"/>
      <w:divBdr>
        <w:top w:val="none" w:sz="0" w:space="0" w:color="auto"/>
        <w:left w:val="none" w:sz="0" w:space="0" w:color="auto"/>
        <w:bottom w:val="none" w:sz="0" w:space="0" w:color="auto"/>
        <w:right w:val="none" w:sz="0" w:space="0" w:color="auto"/>
      </w:divBdr>
    </w:div>
    <w:div w:id="1642929369">
      <w:bodyDiv w:val="1"/>
      <w:marLeft w:val="0"/>
      <w:marRight w:val="0"/>
      <w:marTop w:val="0"/>
      <w:marBottom w:val="0"/>
      <w:divBdr>
        <w:top w:val="none" w:sz="0" w:space="0" w:color="auto"/>
        <w:left w:val="none" w:sz="0" w:space="0" w:color="auto"/>
        <w:bottom w:val="none" w:sz="0" w:space="0" w:color="auto"/>
        <w:right w:val="none" w:sz="0" w:space="0" w:color="auto"/>
      </w:divBdr>
    </w:div>
    <w:div w:id="1648362508">
      <w:bodyDiv w:val="1"/>
      <w:marLeft w:val="0"/>
      <w:marRight w:val="0"/>
      <w:marTop w:val="0"/>
      <w:marBottom w:val="0"/>
      <w:divBdr>
        <w:top w:val="none" w:sz="0" w:space="0" w:color="auto"/>
        <w:left w:val="none" w:sz="0" w:space="0" w:color="auto"/>
        <w:bottom w:val="none" w:sz="0" w:space="0" w:color="auto"/>
        <w:right w:val="none" w:sz="0" w:space="0" w:color="auto"/>
      </w:divBdr>
    </w:div>
    <w:div w:id="1649286394">
      <w:bodyDiv w:val="1"/>
      <w:marLeft w:val="0"/>
      <w:marRight w:val="0"/>
      <w:marTop w:val="0"/>
      <w:marBottom w:val="0"/>
      <w:divBdr>
        <w:top w:val="none" w:sz="0" w:space="0" w:color="auto"/>
        <w:left w:val="none" w:sz="0" w:space="0" w:color="auto"/>
        <w:bottom w:val="none" w:sz="0" w:space="0" w:color="auto"/>
        <w:right w:val="none" w:sz="0" w:space="0" w:color="auto"/>
      </w:divBdr>
    </w:div>
    <w:div w:id="1650790816">
      <w:bodyDiv w:val="1"/>
      <w:marLeft w:val="0"/>
      <w:marRight w:val="0"/>
      <w:marTop w:val="0"/>
      <w:marBottom w:val="0"/>
      <w:divBdr>
        <w:top w:val="none" w:sz="0" w:space="0" w:color="auto"/>
        <w:left w:val="none" w:sz="0" w:space="0" w:color="auto"/>
        <w:bottom w:val="none" w:sz="0" w:space="0" w:color="auto"/>
        <w:right w:val="none" w:sz="0" w:space="0" w:color="auto"/>
      </w:divBdr>
    </w:div>
    <w:div w:id="1658917438">
      <w:bodyDiv w:val="1"/>
      <w:marLeft w:val="0"/>
      <w:marRight w:val="0"/>
      <w:marTop w:val="0"/>
      <w:marBottom w:val="0"/>
      <w:divBdr>
        <w:top w:val="none" w:sz="0" w:space="0" w:color="auto"/>
        <w:left w:val="none" w:sz="0" w:space="0" w:color="auto"/>
        <w:bottom w:val="none" w:sz="0" w:space="0" w:color="auto"/>
        <w:right w:val="none" w:sz="0" w:space="0" w:color="auto"/>
      </w:divBdr>
    </w:div>
    <w:div w:id="1661304167">
      <w:bodyDiv w:val="1"/>
      <w:marLeft w:val="0"/>
      <w:marRight w:val="0"/>
      <w:marTop w:val="0"/>
      <w:marBottom w:val="0"/>
      <w:divBdr>
        <w:top w:val="none" w:sz="0" w:space="0" w:color="auto"/>
        <w:left w:val="none" w:sz="0" w:space="0" w:color="auto"/>
        <w:bottom w:val="none" w:sz="0" w:space="0" w:color="auto"/>
        <w:right w:val="none" w:sz="0" w:space="0" w:color="auto"/>
      </w:divBdr>
    </w:div>
    <w:div w:id="1671103661">
      <w:bodyDiv w:val="1"/>
      <w:marLeft w:val="0"/>
      <w:marRight w:val="0"/>
      <w:marTop w:val="0"/>
      <w:marBottom w:val="0"/>
      <w:divBdr>
        <w:top w:val="none" w:sz="0" w:space="0" w:color="auto"/>
        <w:left w:val="none" w:sz="0" w:space="0" w:color="auto"/>
        <w:bottom w:val="none" w:sz="0" w:space="0" w:color="auto"/>
        <w:right w:val="none" w:sz="0" w:space="0" w:color="auto"/>
      </w:divBdr>
    </w:div>
    <w:div w:id="1672685288">
      <w:bodyDiv w:val="1"/>
      <w:marLeft w:val="0"/>
      <w:marRight w:val="0"/>
      <w:marTop w:val="0"/>
      <w:marBottom w:val="0"/>
      <w:divBdr>
        <w:top w:val="none" w:sz="0" w:space="0" w:color="auto"/>
        <w:left w:val="none" w:sz="0" w:space="0" w:color="auto"/>
        <w:bottom w:val="none" w:sz="0" w:space="0" w:color="auto"/>
        <w:right w:val="none" w:sz="0" w:space="0" w:color="auto"/>
      </w:divBdr>
    </w:div>
    <w:div w:id="1673533635">
      <w:bodyDiv w:val="1"/>
      <w:marLeft w:val="0"/>
      <w:marRight w:val="0"/>
      <w:marTop w:val="0"/>
      <w:marBottom w:val="0"/>
      <w:divBdr>
        <w:top w:val="none" w:sz="0" w:space="0" w:color="auto"/>
        <w:left w:val="none" w:sz="0" w:space="0" w:color="auto"/>
        <w:bottom w:val="none" w:sz="0" w:space="0" w:color="auto"/>
        <w:right w:val="none" w:sz="0" w:space="0" w:color="auto"/>
      </w:divBdr>
    </w:div>
    <w:div w:id="1673603469">
      <w:bodyDiv w:val="1"/>
      <w:marLeft w:val="0"/>
      <w:marRight w:val="0"/>
      <w:marTop w:val="0"/>
      <w:marBottom w:val="0"/>
      <w:divBdr>
        <w:top w:val="none" w:sz="0" w:space="0" w:color="auto"/>
        <w:left w:val="none" w:sz="0" w:space="0" w:color="auto"/>
        <w:bottom w:val="none" w:sz="0" w:space="0" w:color="auto"/>
        <w:right w:val="none" w:sz="0" w:space="0" w:color="auto"/>
      </w:divBdr>
    </w:div>
    <w:div w:id="1679379506">
      <w:bodyDiv w:val="1"/>
      <w:marLeft w:val="0"/>
      <w:marRight w:val="0"/>
      <w:marTop w:val="0"/>
      <w:marBottom w:val="0"/>
      <w:divBdr>
        <w:top w:val="none" w:sz="0" w:space="0" w:color="auto"/>
        <w:left w:val="none" w:sz="0" w:space="0" w:color="auto"/>
        <w:bottom w:val="none" w:sz="0" w:space="0" w:color="auto"/>
        <w:right w:val="none" w:sz="0" w:space="0" w:color="auto"/>
      </w:divBdr>
    </w:div>
    <w:div w:id="1681396063">
      <w:bodyDiv w:val="1"/>
      <w:marLeft w:val="0"/>
      <w:marRight w:val="0"/>
      <w:marTop w:val="0"/>
      <w:marBottom w:val="0"/>
      <w:divBdr>
        <w:top w:val="none" w:sz="0" w:space="0" w:color="auto"/>
        <w:left w:val="none" w:sz="0" w:space="0" w:color="auto"/>
        <w:bottom w:val="none" w:sz="0" w:space="0" w:color="auto"/>
        <w:right w:val="none" w:sz="0" w:space="0" w:color="auto"/>
      </w:divBdr>
    </w:div>
    <w:div w:id="1681620571">
      <w:bodyDiv w:val="1"/>
      <w:marLeft w:val="0"/>
      <w:marRight w:val="0"/>
      <w:marTop w:val="0"/>
      <w:marBottom w:val="0"/>
      <w:divBdr>
        <w:top w:val="none" w:sz="0" w:space="0" w:color="auto"/>
        <w:left w:val="none" w:sz="0" w:space="0" w:color="auto"/>
        <w:bottom w:val="none" w:sz="0" w:space="0" w:color="auto"/>
        <w:right w:val="none" w:sz="0" w:space="0" w:color="auto"/>
      </w:divBdr>
    </w:div>
    <w:div w:id="1682314535">
      <w:bodyDiv w:val="1"/>
      <w:marLeft w:val="0"/>
      <w:marRight w:val="0"/>
      <w:marTop w:val="0"/>
      <w:marBottom w:val="0"/>
      <w:divBdr>
        <w:top w:val="none" w:sz="0" w:space="0" w:color="auto"/>
        <w:left w:val="none" w:sz="0" w:space="0" w:color="auto"/>
        <w:bottom w:val="none" w:sz="0" w:space="0" w:color="auto"/>
        <w:right w:val="none" w:sz="0" w:space="0" w:color="auto"/>
      </w:divBdr>
    </w:div>
    <w:div w:id="1689596790">
      <w:bodyDiv w:val="1"/>
      <w:marLeft w:val="0"/>
      <w:marRight w:val="0"/>
      <w:marTop w:val="0"/>
      <w:marBottom w:val="0"/>
      <w:divBdr>
        <w:top w:val="none" w:sz="0" w:space="0" w:color="auto"/>
        <w:left w:val="none" w:sz="0" w:space="0" w:color="auto"/>
        <w:bottom w:val="none" w:sz="0" w:space="0" w:color="auto"/>
        <w:right w:val="none" w:sz="0" w:space="0" w:color="auto"/>
      </w:divBdr>
    </w:div>
    <w:div w:id="1690134508">
      <w:bodyDiv w:val="1"/>
      <w:marLeft w:val="0"/>
      <w:marRight w:val="0"/>
      <w:marTop w:val="0"/>
      <w:marBottom w:val="0"/>
      <w:divBdr>
        <w:top w:val="none" w:sz="0" w:space="0" w:color="auto"/>
        <w:left w:val="none" w:sz="0" w:space="0" w:color="auto"/>
        <w:bottom w:val="none" w:sz="0" w:space="0" w:color="auto"/>
        <w:right w:val="none" w:sz="0" w:space="0" w:color="auto"/>
      </w:divBdr>
    </w:div>
    <w:div w:id="1691948624">
      <w:bodyDiv w:val="1"/>
      <w:marLeft w:val="0"/>
      <w:marRight w:val="0"/>
      <w:marTop w:val="0"/>
      <w:marBottom w:val="0"/>
      <w:divBdr>
        <w:top w:val="none" w:sz="0" w:space="0" w:color="auto"/>
        <w:left w:val="none" w:sz="0" w:space="0" w:color="auto"/>
        <w:bottom w:val="none" w:sz="0" w:space="0" w:color="auto"/>
        <w:right w:val="none" w:sz="0" w:space="0" w:color="auto"/>
      </w:divBdr>
    </w:div>
    <w:div w:id="1692368770">
      <w:bodyDiv w:val="1"/>
      <w:marLeft w:val="0"/>
      <w:marRight w:val="0"/>
      <w:marTop w:val="0"/>
      <w:marBottom w:val="0"/>
      <w:divBdr>
        <w:top w:val="none" w:sz="0" w:space="0" w:color="auto"/>
        <w:left w:val="none" w:sz="0" w:space="0" w:color="auto"/>
        <w:bottom w:val="none" w:sz="0" w:space="0" w:color="auto"/>
        <w:right w:val="none" w:sz="0" w:space="0" w:color="auto"/>
      </w:divBdr>
    </w:div>
    <w:div w:id="1695886862">
      <w:bodyDiv w:val="1"/>
      <w:marLeft w:val="0"/>
      <w:marRight w:val="0"/>
      <w:marTop w:val="0"/>
      <w:marBottom w:val="0"/>
      <w:divBdr>
        <w:top w:val="none" w:sz="0" w:space="0" w:color="auto"/>
        <w:left w:val="none" w:sz="0" w:space="0" w:color="auto"/>
        <w:bottom w:val="none" w:sz="0" w:space="0" w:color="auto"/>
        <w:right w:val="none" w:sz="0" w:space="0" w:color="auto"/>
      </w:divBdr>
    </w:div>
    <w:div w:id="1701931560">
      <w:bodyDiv w:val="1"/>
      <w:marLeft w:val="0"/>
      <w:marRight w:val="0"/>
      <w:marTop w:val="0"/>
      <w:marBottom w:val="0"/>
      <w:divBdr>
        <w:top w:val="none" w:sz="0" w:space="0" w:color="auto"/>
        <w:left w:val="none" w:sz="0" w:space="0" w:color="auto"/>
        <w:bottom w:val="none" w:sz="0" w:space="0" w:color="auto"/>
        <w:right w:val="none" w:sz="0" w:space="0" w:color="auto"/>
      </w:divBdr>
    </w:div>
    <w:div w:id="1706514880">
      <w:bodyDiv w:val="1"/>
      <w:marLeft w:val="0"/>
      <w:marRight w:val="0"/>
      <w:marTop w:val="0"/>
      <w:marBottom w:val="0"/>
      <w:divBdr>
        <w:top w:val="none" w:sz="0" w:space="0" w:color="auto"/>
        <w:left w:val="none" w:sz="0" w:space="0" w:color="auto"/>
        <w:bottom w:val="none" w:sz="0" w:space="0" w:color="auto"/>
        <w:right w:val="none" w:sz="0" w:space="0" w:color="auto"/>
      </w:divBdr>
    </w:div>
    <w:div w:id="1711295909">
      <w:bodyDiv w:val="1"/>
      <w:marLeft w:val="0"/>
      <w:marRight w:val="0"/>
      <w:marTop w:val="0"/>
      <w:marBottom w:val="0"/>
      <w:divBdr>
        <w:top w:val="none" w:sz="0" w:space="0" w:color="auto"/>
        <w:left w:val="none" w:sz="0" w:space="0" w:color="auto"/>
        <w:bottom w:val="none" w:sz="0" w:space="0" w:color="auto"/>
        <w:right w:val="none" w:sz="0" w:space="0" w:color="auto"/>
      </w:divBdr>
    </w:div>
    <w:div w:id="1722093565">
      <w:bodyDiv w:val="1"/>
      <w:marLeft w:val="0"/>
      <w:marRight w:val="0"/>
      <w:marTop w:val="0"/>
      <w:marBottom w:val="0"/>
      <w:divBdr>
        <w:top w:val="none" w:sz="0" w:space="0" w:color="auto"/>
        <w:left w:val="none" w:sz="0" w:space="0" w:color="auto"/>
        <w:bottom w:val="none" w:sz="0" w:space="0" w:color="auto"/>
        <w:right w:val="none" w:sz="0" w:space="0" w:color="auto"/>
      </w:divBdr>
    </w:div>
    <w:div w:id="1722636580">
      <w:bodyDiv w:val="1"/>
      <w:marLeft w:val="0"/>
      <w:marRight w:val="0"/>
      <w:marTop w:val="0"/>
      <w:marBottom w:val="0"/>
      <w:divBdr>
        <w:top w:val="none" w:sz="0" w:space="0" w:color="auto"/>
        <w:left w:val="none" w:sz="0" w:space="0" w:color="auto"/>
        <w:bottom w:val="none" w:sz="0" w:space="0" w:color="auto"/>
        <w:right w:val="none" w:sz="0" w:space="0" w:color="auto"/>
      </w:divBdr>
    </w:div>
    <w:div w:id="1728650877">
      <w:bodyDiv w:val="1"/>
      <w:marLeft w:val="0"/>
      <w:marRight w:val="0"/>
      <w:marTop w:val="0"/>
      <w:marBottom w:val="0"/>
      <w:divBdr>
        <w:top w:val="none" w:sz="0" w:space="0" w:color="auto"/>
        <w:left w:val="none" w:sz="0" w:space="0" w:color="auto"/>
        <w:bottom w:val="none" w:sz="0" w:space="0" w:color="auto"/>
        <w:right w:val="none" w:sz="0" w:space="0" w:color="auto"/>
      </w:divBdr>
    </w:div>
    <w:div w:id="1728793537">
      <w:bodyDiv w:val="1"/>
      <w:marLeft w:val="0"/>
      <w:marRight w:val="0"/>
      <w:marTop w:val="0"/>
      <w:marBottom w:val="0"/>
      <w:divBdr>
        <w:top w:val="none" w:sz="0" w:space="0" w:color="auto"/>
        <w:left w:val="none" w:sz="0" w:space="0" w:color="auto"/>
        <w:bottom w:val="none" w:sz="0" w:space="0" w:color="auto"/>
        <w:right w:val="none" w:sz="0" w:space="0" w:color="auto"/>
      </w:divBdr>
    </w:div>
    <w:div w:id="1739791231">
      <w:bodyDiv w:val="1"/>
      <w:marLeft w:val="0"/>
      <w:marRight w:val="0"/>
      <w:marTop w:val="0"/>
      <w:marBottom w:val="0"/>
      <w:divBdr>
        <w:top w:val="none" w:sz="0" w:space="0" w:color="auto"/>
        <w:left w:val="none" w:sz="0" w:space="0" w:color="auto"/>
        <w:bottom w:val="none" w:sz="0" w:space="0" w:color="auto"/>
        <w:right w:val="none" w:sz="0" w:space="0" w:color="auto"/>
      </w:divBdr>
    </w:div>
    <w:div w:id="1739940179">
      <w:bodyDiv w:val="1"/>
      <w:marLeft w:val="0"/>
      <w:marRight w:val="0"/>
      <w:marTop w:val="0"/>
      <w:marBottom w:val="0"/>
      <w:divBdr>
        <w:top w:val="none" w:sz="0" w:space="0" w:color="auto"/>
        <w:left w:val="none" w:sz="0" w:space="0" w:color="auto"/>
        <w:bottom w:val="none" w:sz="0" w:space="0" w:color="auto"/>
        <w:right w:val="none" w:sz="0" w:space="0" w:color="auto"/>
      </w:divBdr>
    </w:div>
    <w:div w:id="1747146205">
      <w:bodyDiv w:val="1"/>
      <w:marLeft w:val="0"/>
      <w:marRight w:val="0"/>
      <w:marTop w:val="0"/>
      <w:marBottom w:val="0"/>
      <w:divBdr>
        <w:top w:val="none" w:sz="0" w:space="0" w:color="auto"/>
        <w:left w:val="none" w:sz="0" w:space="0" w:color="auto"/>
        <w:bottom w:val="none" w:sz="0" w:space="0" w:color="auto"/>
        <w:right w:val="none" w:sz="0" w:space="0" w:color="auto"/>
      </w:divBdr>
    </w:div>
    <w:div w:id="1747722124">
      <w:bodyDiv w:val="1"/>
      <w:marLeft w:val="0"/>
      <w:marRight w:val="0"/>
      <w:marTop w:val="0"/>
      <w:marBottom w:val="0"/>
      <w:divBdr>
        <w:top w:val="none" w:sz="0" w:space="0" w:color="auto"/>
        <w:left w:val="none" w:sz="0" w:space="0" w:color="auto"/>
        <w:bottom w:val="none" w:sz="0" w:space="0" w:color="auto"/>
        <w:right w:val="none" w:sz="0" w:space="0" w:color="auto"/>
      </w:divBdr>
    </w:div>
    <w:div w:id="1748307546">
      <w:bodyDiv w:val="1"/>
      <w:marLeft w:val="0"/>
      <w:marRight w:val="0"/>
      <w:marTop w:val="0"/>
      <w:marBottom w:val="0"/>
      <w:divBdr>
        <w:top w:val="none" w:sz="0" w:space="0" w:color="auto"/>
        <w:left w:val="none" w:sz="0" w:space="0" w:color="auto"/>
        <w:bottom w:val="none" w:sz="0" w:space="0" w:color="auto"/>
        <w:right w:val="none" w:sz="0" w:space="0" w:color="auto"/>
      </w:divBdr>
    </w:div>
    <w:div w:id="1749032026">
      <w:bodyDiv w:val="1"/>
      <w:marLeft w:val="0"/>
      <w:marRight w:val="0"/>
      <w:marTop w:val="0"/>
      <w:marBottom w:val="0"/>
      <w:divBdr>
        <w:top w:val="none" w:sz="0" w:space="0" w:color="auto"/>
        <w:left w:val="none" w:sz="0" w:space="0" w:color="auto"/>
        <w:bottom w:val="none" w:sz="0" w:space="0" w:color="auto"/>
        <w:right w:val="none" w:sz="0" w:space="0" w:color="auto"/>
      </w:divBdr>
    </w:div>
    <w:div w:id="1749182293">
      <w:bodyDiv w:val="1"/>
      <w:marLeft w:val="0"/>
      <w:marRight w:val="0"/>
      <w:marTop w:val="0"/>
      <w:marBottom w:val="0"/>
      <w:divBdr>
        <w:top w:val="none" w:sz="0" w:space="0" w:color="auto"/>
        <w:left w:val="none" w:sz="0" w:space="0" w:color="auto"/>
        <w:bottom w:val="none" w:sz="0" w:space="0" w:color="auto"/>
        <w:right w:val="none" w:sz="0" w:space="0" w:color="auto"/>
      </w:divBdr>
    </w:div>
    <w:div w:id="1749187502">
      <w:bodyDiv w:val="1"/>
      <w:marLeft w:val="0"/>
      <w:marRight w:val="0"/>
      <w:marTop w:val="0"/>
      <w:marBottom w:val="0"/>
      <w:divBdr>
        <w:top w:val="none" w:sz="0" w:space="0" w:color="auto"/>
        <w:left w:val="none" w:sz="0" w:space="0" w:color="auto"/>
        <w:bottom w:val="none" w:sz="0" w:space="0" w:color="auto"/>
        <w:right w:val="none" w:sz="0" w:space="0" w:color="auto"/>
      </w:divBdr>
    </w:div>
    <w:div w:id="1751006050">
      <w:bodyDiv w:val="1"/>
      <w:marLeft w:val="0"/>
      <w:marRight w:val="0"/>
      <w:marTop w:val="0"/>
      <w:marBottom w:val="0"/>
      <w:divBdr>
        <w:top w:val="none" w:sz="0" w:space="0" w:color="auto"/>
        <w:left w:val="none" w:sz="0" w:space="0" w:color="auto"/>
        <w:bottom w:val="none" w:sz="0" w:space="0" w:color="auto"/>
        <w:right w:val="none" w:sz="0" w:space="0" w:color="auto"/>
      </w:divBdr>
    </w:div>
    <w:div w:id="1752657855">
      <w:bodyDiv w:val="1"/>
      <w:marLeft w:val="0"/>
      <w:marRight w:val="0"/>
      <w:marTop w:val="0"/>
      <w:marBottom w:val="0"/>
      <w:divBdr>
        <w:top w:val="none" w:sz="0" w:space="0" w:color="auto"/>
        <w:left w:val="none" w:sz="0" w:space="0" w:color="auto"/>
        <w:bottom w:val="none" w:sz="0" w:space="0" w:color="auto"/>
        <w:right w:val="none" w:sz="0" w:space="0" w:color="auto"/>
      </w:divBdr>
    </w:div>
    <w:div w:id="1755710765">
      <w:bodyDiv w:val="1"/>
      <w:marLeft w:val="0"/>
      <w:marRight w:val="0"/>
      <w:marTop w:val="0"/>
      <w:marBottom w:val="0"/>
      <w:divBdr>
        <w:top w:val="none" w:sz="0" w:space="0" w:color="auto"/>
        <w:left w:val="none" w:sz="0" w:space="0" w:color="auto"/>
        <w:bottom w:val="none" w:sz="0" w:space="0" w:color="auto"/>
        <w:right w:val="none" w:sz="0" w:space="0" w:color="auto"/>
      </w:divBdr>
    </w:div>
    <w:div w:id="1760440951">
      <w:bodyDiv w:val="1"/>
      <w:marLeft w:val="0"/>
      <w:marRight w:val="0"/>
      <w:marTop w:val="0"/>
      <w:marBottom w:val="0"/>
      <w:divBdr>
        <w:top w:val="none" w:sz="0" w:space="0" w:color="auto"/>
        <w:left w:val="none" w:sz="0" w:space="0" w:color="auto"/>
        <w:bottom w:val="none" w:sz="0" w:space="0" w:color="auto"/>
        <w:right w:val="none" w:sz="0" w:space="0" w:color="auto"/>
      </w:divBdr>
    </w:div>
    <w:div w:id="1760716608">
      <w:bodyDiv w:val="1"/>
      <w:marLeft w:val="0"/>
      <w:marRight w:val="0"/>
      <w:marTop w:val="0"/>
      <w:marBottom w:val="0"/>
      <w:divBdr>
        <w:top w:val="none" w:sz="0" w:space="0" w:color="auto"/>
        <w:left w:val="none" w:sz="0" w:space="0" w:color="auto"/>
        <w:bottom w:val="none" w:sz="0" w:space="0" w:color="auto"/>
        <w:right w:val="none" w:sz="0" w:space="0" w:color="auto"/>
      </w:divBdr>
    </w:div>
    <w:div w:id="1765687176">
      <w:bodyDiv w:val="1"/>
      <w:marLeft w:val="0"/>
      <w:marRight w:val="0"/>
      <w:marTop w:val="0"/>
      <w:marBottom w:val="0"/>
      <w:divBdr>
        <w:top w:val="none" w:sz="0" w:space="0" w:color="auto"/>
        <w:left w:val="none" w:sz="0" w:space="0" w:color="auto"/>
        <w:bottom w:val="none" w:sz="0" w:space="0" w:color="auto"/>
        <w:right w:val="none" w:sz="0" w:space="0" w:color="auto"/>
      </w:divBdr>
    </w:div>
    <w:div w:id="1770537826">
      <w:bodyDiv w:val="1"/>
      <w:marLeft w:val="0"/>
      <w:marRight w:val="0"/>
      <w:marTop w:val="0"/>
      <w:marBottom w:val="0"/>
      <w:divBdr>
        <w:top w:val="none" w:sz="0" w:space="0" w:color="auto"/>
        <w:left w:val="none" w:sz="0" w:space="0" w:color="auto"/>
        <w:bottom w:val="none" w:sz="0" w:space="0" w:color="auto"/>
        <w:right w:val="none" w:sz="0" w:space="0" w:color="auto"/>
      </w:divBdr>
    </w:div>
    <w:div w:id="1789623220">
      <w:bodyDiv w:val="1"/>
      <w:marLeft w:val="0"/>
      <w:marRight w:val="0"/>
      <w:marTop w:val="0"/>
      <w:marBottom w:val="0"/>
      <w:divBdr>
        <w:top w:val="none" w:sz="0" w:space="0" w:color="auto"/>
        <w:left w:val="none" w:sz="0" w:space="0" w:color="auto"/>
        <w:bottom w:val="none" w:sz="0" w:space="0" w:color="auto"/>
        <w:right w:val="none" w:sz="0" w:space="0" w:color="auto"/>
      </w:divBdr>
    </w:div>
    <w:div w:id="1793742052">
      <w:bodyDiv w:val="1"/>
      <w:marLeft w:val="0"/>
      <w:marRight w:val="0"/>
      <w:marTop w:val="0"/>
      <w:marBottom w:val="0"/>
      <w:divBdr>
        <w:top w:val="none" w:sz="0" w:space="0" w:color="auto"/>
        <w:left w:val="none" w:sz="0" w:space="0" w:color="auto"/>
        <w:bottom w:val="none" w:sz="0" w:space="0" w:color="auto"/>
        <w:right w:val="none" w:sz="0" w:space="0" w:color="auto"/>
      </w:divBdr>
    </w:div>
    <w:div w:id="1793859920">
      <w:bodyDiv w:val="1"/>
      <w:marLeft w:val="0"/>
      <w:marRight w:val="0"/>
      <w:marTop w:val="0"/>
      <w:marBottom w:val="0"/>
      <w:divBdr>
        <w:top w:val="none" w:sz="0" w:space="0" w:color="auto"/>
        <w:left w:val="none" w:sz="0" w:space="0" w:color="auto"/>
        <w:bottom w:val="none" w:sz="0" w:space="0" w:color="auto"/>
        <w:right w:val="none" w:sz="0" w:space="0" w:color="auto"/>
      </w:divBdr>
    </w:div>
    <w:div w:id="1801338293">
      <w:bodyDiv w:val="1"/>
      <w:marLeft w:val="0"/>
      <w:marRight w:val="0"/>
      <w:marTop w:val="0"/>
      <w:marBottom w:val="0"/>
      <w:divBdr>
        <w:top w:val="none" w:sz="0" w:space="0" w:color="auto"/>
        <w:left w:val="none" w:sz="0" w:space="0" w:color="auto"/>
        <w:bottom w:val="none" w:sz="0" w:space="0" w:color="auto"/>
        <w:right w:val="none" w:sz="0" w:space="0" w:color="auto"/>
      </w:divBdr>
    </w:div>
    <w:div w:id="1802721432">
      <w:bodyDiv w:val="1"/>
      <w:marLeft w:val="0"/>
      <w:marRight w:val="0"/>
      <w:marTop w:val="0"/>
      <w:marBottom w:val="0"/>
      <w:divBdr>
        <w:top w:val="none" w:sz="0" w:space="0" w:color="auto"/>
        <w:left w:val="none" w:sz="0" w:space="0" w:color="auto"/>
        <w:bottom w:val="none" w:sz="0" w:space="0" w:color="auto"/>
        <w:right w:val="none" w:sz="0" w:space="0" w:color="auto"/>
      </w:divBdr>
    </w:div>
    <w:div w:id="1809008760">
      <w:bodyDiv w:val="1"/>
      <w:marLeft w:val="0"/>
      <w:marRight w:val="0"/>
      <w:marTop w:val="0"/>
      <w:marBottom w:val="0"/>
      <w:divBdr>
        <w:top w:val="none" w:sz="0" w:space="0" w:color="auto"/>
        <w:left w:val="none" w:sz="0" w:space="0" w:color="auto"/>
        <w:bottom w:val="none" w:sz="0" w:space="0" w:color="auto"/>
        <w:right w:val="none" w:sz="0" w:space="0" w:color="auto"/>
      </w:divBdr>
    </w:div>
    <w:div w:id="1812479772">
      <w:bodyDiv w:val="1"/>
      <w:marLeft w:val="0"/>
      <w:marRight w:val="0"/>
      <w:marTop w:val="0"/>
      <w:marBottom w:val="0"/>
      <w:divBdr>
        <w:top w:val="none" w:sz="0" w:space="0" w:color="auto"/>
        <w:left w:val="none" w:sz="0" w:space="0" w:color="auto"/>
        <w:bottom w:val="none" w:sz="0" w:space="0" w:color="auto"/>
        <w:right w:val="none" w:sz="0" w:space="0" w:color="auto"/>
      </w:divBdr>
    </w:div>
    <w:div w:id="1822195192">
      <w:bodyDiv w:val="1"/>
      <w:marLeft w:val="0"/>
      <w:marRight w:val="0"/>
      <w:marTop w:val="0"/>
      <w:marBottom w:val="0"/>
      <w:divBdr>
        <w:top w:val="none" w:sz="0" w:space="0" w:color="auto"/>
        <w:left w:val="none" w:sz="0" w:space="0" w:color="auto"/>
        <w:bottom w:val="none" w:sz="0" w:space="0" w:color="auto"/>
        <w:right w:val="none" w:sz="0" w:space="0" w:color="auto"/>
      </w:divBdr>
    </w:div>
    <w:div w:id="1822841129">
      <w:bodyDiv w:val="1"/>
      <w:marLeft w:val="0"/>
      <w:marRight w:val="0"/>
      <w:marTop w:val="0"/>
      <w:marBottom w:val="0"/>
      <w:divBdr>
        <w:top w:val="none" w:sz="0" w:space="0" w:color="auto"/>
        <w:left w:val="none" w:sz="0" w:space="0" w:color="auto"/>
        <w:bottom w:val="none" w:sz="0" w:space="0" w:color="auto"/>
        <w:right w:val="none" w:sz="0" w:space="0" w:color="auto"/>
      </w:divBdr>
    </w:div>
    <w:div w:id="1830052212">
      <w:bodyDiv w:val="1"/>
      <w:marLeft w:val="0"/>
      <w:marRight w:val="0"/>
      <w:marTop w:val="0"/>
      <w:marBottom w:val="0"/>
      <w:divBdr>
        <w:top w:val="none" w:sz="0" w:space="0" w:color="auto"/>
        <w:left w:val="none" w:sz="0" w:space="0" w:color="auto"/>
        <w:bottom w:val="none" w:sz="0" w:space="0" w:color="auto"/>
        <w:right w:val="none" w:sz="0" w:space="0" w:color="auto"/>
      </w:divBdr>
    </w:div>
    <w:div w:id="1832063063">
      <w:bodyDiv w:val="1"/>
      <w:marLeft w:val="0"/>
      <w:marRight w:val="0"/>
      <w:marTop w:val="0"/>
      <w:marBottom w:val="0"/>
      <w:divBdr>
        <w:top w:val="none" w:sz="0" w:space="0" w:color="auto"/>
        <w:left w:val="none" w:sz="0" w:space="0" w:color="auto"/>
        <w:bottom w:val="none" w:sz="0" w:space="0" w:color="auto"/>
        <w:right w:val="none" w:sz="0" w:space="0" w:color="auto"/>
      </w:divBdr>
    </w:div>
    <w:div w:id="1839467628">
      <w:bodyDiv w:val="1"/>
      <w:marLeft w:val="0"/>
      <w:marRight w:val="0"/>
      <w:marTop w:val="0"/>
      <w:marBottom w:val="0"/>
      <w:divBdr>
        <w:top w:val="none" w:sz="0" w:space="0" w:color="auto"/>
        <w:left w:val="none" w:sz="0" w:space="0" w:color="auto"/>
        <w:bottom w:val="none" w:sz="0" w:space="0" w:color="auto"/>
        <w:right w:val="none" w:sz="0" w:space="0" w:color="auto"/>
      </w:divBdr>
    </w:div>
    <w:div w:id="1840385098">
      <w:bodyDiv w:val="1"/>
      <w:marLeft w:val="0"/>
      <w:marRight w:val="0"/>
      <w:marTop w:val="0"/>
      <w:marBottom w:val="0"/>
      <w:divBdr>
        <w:top w:val="none" w:sz="0" w:space="0" w:color="auto"/>
        <w:left w:val="none" w:sz="0" w:space="0" w:color="auto"/>
        <w:bottom w:val="none" w:sz="0" w:space="0" w:color="auto"/>
        <w:right w:val="none" w:sz="0" w:space="0" w:color="auto"/>
      </w:divBdr>
    </w:div>
    <w:div w:id="1843424450">
      <w:bodyDiv w:val="1"/>
      <w:marLeft w:val="0"/>
      <w:marRight w:val="0"/>
      <w:marTop w:val="0"/>
      <w:marBottom w:val="0"/>
      <w:divBdr>
        <w:top w:val="none" w:sz="0" w:space="0" w:color="auto"/>
        <w:left w:val="none" w:sz="0" w:space="0" w:color="auto"/>
        <w:bottom w:val="none" w:sz="0" w:space="0" w:color="auto"/>
        <w:right w:val="none" w:sz="0" w:space="0" w:color="auto"/>
      </w:divBdr>
    </w:div>
    <w:div w:id="1846168774">
      <w:bodyDiv w:val="1"/>
      <w:marLeft w:val="0"/>
      <w:marRight w:val="0"/>
      <w:marTop w:val="0"/>
      <w:marBottom w:val="0"/>
      <w:divBdr>
        <w:top w:val="none" w:sz="0" w:space="0" w:color="auto"/>
        <w:left w:val="none" w:sz="0" w:space="0" w:color="auto"/>
        <w:bottom w:val="none" w:sz="0" w:space="0" w:color="auto"/>
        <w:right w:val="none" w:sz="0" w:space="0" w:color="auto"/>
      </w:divBdr>
    </w:div>
    <w:div w:id="1848867499">
      <w:bodyDiv w:val="1"/>
      <w:marLeft w:val="0"/>
      <w:marRight w:val="0"/>
      <w:marTop w:val="0"/>
      <w:marBottom w:val="0"/>
      <w:divBdr>
        <w:top w:val="none" w:sz="0" w:space="0" w:color="auto"/>
        <w:left w:val="none" w:sz="0" w:space="0" w:color="auto"/>
        <w:bottom w:val="none" w:sz="0" w:space="0" w:color="auto"/>
        <w:right w:val="none" w:sz="0" w:space="0" w:color="auto"/>
      </w:divBdr>
    </w:div>
    <w:div w:id="1864324455">
      <w:bodyDiv w:val="1"/>
      <w:marLeft w:val="0"/>
      <w:marRight w:val="0"/>
      <w:marTop w:val="0"/>
      <w:marBottom w:val="0"/>
      <w:divBdr>
        <w:top w:val="none" w:sz="0" w:space="0" w:color="auto"/>
        <w:left w:val="none" w:sz="0" w:space="0" w:color="auto"/>
        <w:bottom w:val="none" w:sz="0" w:space="0" w:color="auto"/>
        <w:right w:val="none" w:sz="0" w:space="0" w:color="auto"/>
      </w:divBdr>
    </w:div>
    <w:div w:id="1865710998">
      <w:bodyDiv w:val="1"/>
      <w:marLeft w:val="0"/>
      <w:marRight w:val="0"/>
      <w:marTop w:val="0"/>
      <w:marBottom w:val="0"/>
      <w:divBdr>
        <w:top w:val="none" w:sz="0" w:space="0" w:color="auto"/>
        <w:left w:val="none" w:sz="0" w:space="0" w:color="auto"/>
        <w:bottom w:val="none" w:sz="0" w:space="0" w:color="auto"/>
        <w:right w:val="none" w:sz="0" w:space="0" w:color="auto"/>
      </w:divBdr>
    </w:div>
    <w:div w:id="1870029428">
      <w:bodyDiv w:val="1"/>
      <w:marLeft w:val="0"/>
      <w:marRight w:val="0"/>
      <w:marTop w:val="0"/>
      <w:marBottom w:val="0"/>
      <w:divBdr>
        <w:top w:val="none" w:sz="0" w:space="0" w:color="auto"/>
        <w:left w:val="none" w:sz="0" w:space="0" w:color="auto"/>
        <w:bottom w:val="none" w:sz="0" w:space="0" w:color="auto"/>
        <w:right w:val="none" w:sz="0" w:space="0" w:color="auto"/>
      </w:divBdr>
    </w:div>
    <w:div w:id="1883471626">
      <w:bodyDiv w:val="1"/>
      <w:marLeft w:val="0"/>
      <w:marRight w:val="0"/>
      <w:marTop w:val="0"/>
      <w:marBottom w:val="0"/>
      <w:divBdr>
        <w:top w:val="none" w:sz="0" w:space="0" w:color="auto"/>
        <w:left w:val="none" w:sz="0" w:space="0" w:color="auto"/>
        <w:bottom w:val="none" w:sz="0" w:space="0" w:color="auto"/>
        <w:right w:val="none" w:sz="0" w:space="0" w:color="auto"/>
      </w:divBdr>
    </w:div>
    <w:div w:id="1886524601">
      <w:bodyDiv w:val="1"/>
      <w:marLeft w:val="0"/>
      <w:marRight w:val="0"/>
      <w:marTop w:val="0"/>
      <w:marBottom w:val="0"/>
      <w:divBdr>
        <w:top w:val="none" w:sz="0" w:space="0" w:color="auto"/>
        <w:left w:val="none" w:sz="0" w:space="0" w:color="auto"/>
        <w:bottom w:val="none" w:sz="0" w:space="0" w:color="auto"/>
        <w:right w:val="none" w:sz="0" w:space="0" w:color="auto"/>
      </w:divBdr>
    </w:div>
    <w:div w:id="1888374173">
      <w:bodyDiv w:val="1"/>
      <w:marLeft w:val="0"/>
      <w:marRight w:val="0"/>
      <w:marTop w:val="0"/>
      <w:marBottom w:val="0"/>
      <w:divBdr>
        <w:top w:val="none" w:sz="0" w:space="0" w:color="auto"/>
        <w:left w:val="none" w:sz="0" w:space="0" w:color="auto"/>
        <w:bottom w:val="none" w:sz="0" w:space="0" w:color="auto"/>
        <w:right w:val="none" w:sz="0" w:space="0" w:color="auto"/>
      </w:divBdr>
    </w:div>
    <w:div w:id="1896505718">
      <w:bodyDiv w:val="1"/>
      <w:marLeft w:val="0"/>
      <w:marRight w:val="0"/>
      <w:marTop w:val="0"/>
      <w:marBottom w:val="0"/>
      <w:divBdr>
        <w:top w:val="none" w:sz="0" w:space="0" w:color="auto"/>
        <w:left w:val="none" w:sz="0" w:space="0" w:color="auto"/>
        <w:bottom w:val="none" w:sz="0" w:space="0" w:color="auto"/>
        <w:right w:val="none" w:sz="0" w:space="0" w:color="auto"/>
      </w:divBdr>
    </w:div>
    <w:div w:id="1897428933">
      <w:bodyDiv w:val="1"/>
      <w:marLeft w:val="0"/>
      <w:marRight w:val="0"/>
      <w:marTop w:val="0"/>
      <w:marBottom w:val="0"/>
      <w:divBdr>
        <w:top w:val="none" w:sz="0" w:space="0" w:color="auto"/>
        <w:left w:val="none" w:sz="0" w:space="0" w:color="auto"/>
        <w:bottom w:val="none" w:sz="0" w:space="0" w:color="auto"/>
        <w:right w:val="none" w:sz="0" w:space="0" w:color="auto"/>
      </w:divBdr>
    </w:div>
    <w:div w:id="1901671651">
      <w:bodyDiv w:val="1"/>
      <w:marLeft w:val="0"/>
      <w:marRight w:val="0"/>
      <w:marTop w:val="0"/>
      <w:marBottom w:val="0"/>
      <w:divBdr>
        <w:top w:val="none" w:sz="0" w:space="0" w:color="auto"/>
        <w:left w:val="none" w:sz="0" w:space="0" w:color="auto"/>
        <w:bottom w:val="none" w:sz="0" w:space="0" w:color="auto"/>
        <w:right w:val="none" w:sz="0" w:space="0" w:color="auto"/>
      </w:divBdr>
    </w:div>
    <w:div w:id="1907572929">
      <w:bodyDiv w:val="1"/>
      <w:marLeft w:val="0"/>
      <w:marRight w:val="0"/>
      <w:marTop w:val="0"/>
      <w:marBottom w:val="0"/>
      <w:divBdr>
        <w:top w:val="none" w:sz="0" w:space="0" w:color="auto"/>
        <w:left w:val="none" w:sz="0" w:space="0" w:color="auto"/>
        <w:bottom w:val="none" w:sz="0" w:space="0" w:color="auto"/>
        <w:right w:val="none" w:sz="0" w:space="0" w:color="auto"/>
      </w:divBdr>
    </w:div>
    <w:div w:id="1908762046">
      <w:bodyDiv w:val="1"/>
      <w:marLeft w:val="0"/>
      <w:marRight w:val="0"/>
      <w:marTop w:val="0"/>
      <w:marBottom w:val="0"/>
      <w:divBdr>
        <w:top w:val="none" w:sz="0" w:space="0" w:color="auto"/>
        <w:left w:val="none" w:sz="0" w:space="0" w:color="auto"/>
        <w:bottom w:val="none" w:sz="0" w:space="0" w:color="auto"/>
        <w:right w:val="none" w:sz="0" w:space="0" w:color="auto"/>
      </w:divBdr>
    </w:div>
    <w:div w:id="1909026969">
      <w:bodyDiv w:val="1"/>
      <w:marLeft w:val="0"/>
      <w:marRight w:val="0"/>
      <w:marTop w:val="0"/>
      <w:marBottom w:val="0"/>
      <w:divBdr>
        <w:top w:val="none" w:sz="0" w:space="0" w:color="auto"/>
        <w:left w:val="none" w:sz="0" w:space="0" w:color="auto"/>
        <w:bottom w:val="none" w:sz="0" w:space="0" w:color="auto"/>
        <w:right w:val="none" w:sz="0" w:space="0" w:color="auto"/>
      </w:divBdr>
    </w:div>
    <w:div w:id="1913808117">
      <w:bodyDiv w:val="1"/>
      <w:marLeft w:val="0"/>
      <w:marRight w:val="0"/>
      <w:marTop w:val="0"/>
      <w:marBottom w:val="0"/>
      <w:divBdr>
        <w:top w:val="none" w:sz="0" w:space="0" w:color="auto"/>
        <w:left w:val="none" w:sz="0" w:space="0" w:color="auto"/>
        <w:bottom w:val="none" w:sz="0" w:space="0" w:color="auto"/>
        <w:right w:val="none" w:sz="0" w:space="0" w:color="auto"/>
      </w:divBdr>
    </w:div>
    <w:div w:id="1916862640">
      <w:bodyDiv w:val="1"/>
      <w:marLeft w:val="0"/>
      <w:marRight w:val="0"/>
      <w:marTop w:val="0"/>
      <w:marBottom w:val="0"/>
      <w:divBdr>
        <w:top w:val="none" w:sz="0" w:space="0" w:color="auto"/>
        <w:left w:val="none" w:sz="0" w:space="0" w:color="auto"/>
        <w:bottom w:val="none" w:sz="0" w:space="0" w:color="auto"/>
        <w:right w:val="none" w:sz="0" w:space="0" w:color="auto"/>
      </w:divBdr>
    </w:div>
    <w:div w:id="1925340001">
      <w:bodyDiv w:val="1"/>
      <w:marLeft w:val="0"/>
      <w:marRight w:val="0"/>
      <w:marTop w:val="0"/>
      <w:marBottom w:val="0"/>
      <w:divBdr>
        <w:top w:val="none" w:sz="0" w:space="0" w:color="auto"/>
        <w:left w:val="none" w:sz="0" w:space="0" w:color="auto"/>
        <w:bottom w:val="none" w:sz="0" w:space="0" w:color="auto"/>
        <w:right w:val="none" w:sz="0" w:space="0" w:color="auto"/>
      </w:divBdr>
    </w:div>
    <w:div w:id="1925646988">
      <w:bodyDiv w:val="1"/>
      <w:marLeft w:val="0"/>
      <w:marRight w:val="0"/>
      <w:marTop w:val="0"/>
      <w:marBottom w:val="0"/>
      <w:divBdr>
        <w:top w:val="none" w:sz="0" w:space="0" w:color="auto"/>
        <w:left w:val="none" w:sz="0" w:space="0" w:color="auto"/>
        <w:bottom w:val="none" w:sz="0" w:space="0" w:color="auto"/>
        <w:right w:val="none" w:sz="0" w:space="0" w:color="auto"/>
      </w:divBdr>
    </w:div>
    <w:div w:id="1927183888">
      <w:bodyDiv w:val="1"/>
      <w:marLeft w:val="0"/>
      <w:marRight w:val="0"/>
      <w:marTop w:val="0"/>
      <w:marBottom w:val="0"/>
      <w:divBdr>
        <w:top w:val="none" w:sz="0" w:space="0" w:color="auto"/>
        <w:left w:val="none" w:sz="0" w:space="0" w:color="auto"/>
        <w:bottom w:val="none" w:sz="0" w:space="0" w:color="auto"/>
        <w:right w:val="none" w:sz="0" w:space="0" w:color="auto"/>
      </w:divBdr>
    </w:div>
    <w:div w:id="1932808451">
      <w:bodyDiv w:val="1"/>
      <w:marLeft w:val="0"/>
      <w:marRight w:val="0"/>
      <w:marTop w:val="0"/>
      <w:marBottom w:val="0"/>
      <w:divBdr>
        <w:top w:val="none" w:sz="0" w:space="0" w:color="auto"/>
        <w:left w:val="none" w:sz="0" w:space="0" w:color="auto"/>
        <w:bottom w:val="none" w:sz="0" w:space="0" w:color="auto"/>
        <w:right w:val="none" w:sz="0" w:space="0" w:color="auto"/>
      </w:divBdr>
    </w:div>
    <w:div w:id="1933395372">
      <w:bodyDiv w:val="1"/>
      <w:marLeft w:val="0"/>
      <w:marRight w:val="0"/>
      <w:marTop w:val="0"/>
      <w:marBottom w:val="0"/>
      <w:divBdr>
        <w:top w:val="none" w:sz="0" w:space="0" w:color="auto"/>
        <w:left w:val="none" w:sz="0" w:space="0" w:color="auto"/>
        <w:bottom w:val="none" w:sz="0" w:space="0" w:color="auto"/>
        <w:right w:val="none" w:sz="0" w:space="0" w:color="auto"/>
      </w:divBdr>
    </w:div>
    <w:div w:id="1935549154">
      <w:bodyDiv w:val="1"/>
      <w:marLeft w:val="0"/>
      <w:marRight w:val="0"/>
      <w:marTop w:val="0"/>
      <w:marBottom w:val="0"/>
      <w:divBdr>
        <w:top w:val="none" w:sz="0" w:space="0" w:color="auto"/>
        <w:left w:val="none" w:sz="0" w:space="0" w:color="auto"/>
        <w:bottom w:val="none" w:sz="0" w:space="0" w:color="auto"/>
        <w:right w:val="none" w:sz="0" w:space="0" w:color="auto"/>
      </w:divBdr>
    </w:div>
    <w:div w:id="1936668526">
      <w:bodyDiv w:val="1"/>
      <w:marLeft w:val="0"/>
      <w:marRight w:val="0"/>
      <w:marTop w:val="0"/>
      <w:marBottom w:val="0"/>
      <w:divBdr>
        <w:top w:val="none" w:sz="0" w:space="0" w:color="auto"/>
        <w:left w:val="none" w:sz="0" w:space="0" w:color="auto"/>
        <w:bottom w:val="none" w:sz="0" w:space="0" w:color="auto"/>
        <w:right w:val="none" w:sz="0" w:space="0" w:color="auto"/>
      </w:divBdr>
    </w:div>
    <w:div w:id="1949002170">
      <w:bodyDiv w:val="1"/>
      <w:marLeft w:val="0"/>
      <w:marRight w:val="0"/>
      <w:marTop w:val="0"/>
      <w:marBottom w:val="0"/>
      <w:divBdr>
        <w:top w:val="none" w:sz="0" w:space="0" w:color="auto"/>
        <w:left w:val="none" w:sz="0" w:space="0" w:color="auto"/>
        <w:bottom w:val="none" w:sz="0" w:space="0" w:color="auto"/>
        <w:right w:val="none" w:sz="0" w:space="0" w:color="auto"/>
      </w:divBdr>
    </w:div>
    <w:div w:id="1949969757">
      <w:bodyDiv w:val="1"/>
      <w:marLeft w:val="0"/>
      <w:marRight w:val="0"/>
      <w:marTop w:val="0"/>
      <w:marBottom w:val="0"/>
      <w:divBdr>
        <w:top w:val="none" w:sz="0" w:space="0" w:color="auto"/>
        <w:left w:val="none" w:sz="0" w:space="0" w:color="auto"/>
        <w:bottom w:val="none" w:sz="0" w:space="0" w:color="auto"/>
        <w:right w:val="none" w:sz="0" w:space="0" w:color="auto"/>
      </w:divBdr>
    </w:div>
    <w:div w:id="1951354321">
      <w:bodyDiv w:val="1"/>
      <w:marLeft w:val="0"/>
      <w:marRight w:val="0"/>
      <w:marTop w:val="0"/>
      <w:marBottom w:val="0"/>
      <w:divBdr>
        <w:top w:val="none" w:sz="0" w:space="0" w:color="auto"/>
        <w:left w:val="none" w:sz="0" w:space="0" w:color="auto"/>
        <w:bottom w:val="none" w:sz="0" w:space="0" w:color="auto"/>
        <w:right w:val="none" w:sz="0" w:space="0" w:color="auto"/>
      </w:divBdr>
    </w:div>
    <w:div w:id="1952978557">
      <w:bodyDiv w:val="1"/>
      <w:marLeft w:val="0"/>
      <w:marRight w:val="0"/>
      <w:marTop w:val="0"/>
      <w:marBottom w:val="0"/>
      <w:divBdr>
        <w:top w:val="none" w:sz="0" w:space="0" w:color="auto"/>
        <w:left w:val="none" w:sz="0" w:space="0" w:color="auto"/>
        <w:bottom w:val="none" w:sz="0" w:space="0" w:color="auto"/>
        <w:right w:val="none" w:sz="0" w:space="0" w:color="auto"/>
      </w:divBdr>
    </w:div>
    <w:div w:id="1954364101">
      <w:bodyDiv w:val="1"/>
      <w:marLeft w:val="0"/>
      <w:marRight w:val="0"/>
      <w:marTop w:val="0"/>
      <w:marBottom w:val="0"/>
      <w:divBdr>
        <w:top w:val="none" w:sz="0" w:space="0" w:color="auto"/>
        <w:left w:val="none" w:sz="0" w:space="0" w:color="auto"/>
        <w:bottom w:val="none" w:sz="0" w:space="0" w:color="auto"/>
        <w:right w:val="none" w:sz="0" w:space="0" w:color="auto"/>
      </w:divBdr>
    </w:div>
    <w:div w:id="1955205895">
      <w:bodyDiv w:val="1"/>
      <w:marLeft w:val="0"/>
      <w:marRight w:val="0"/>
      <w:marTop w:val="0"/>
      <w:marBottom w:val="0"/>
      <w:divBdr>
        <w:top w:val="none" w:sz="0" w:space="0" w:color="auto"/>
        <w:left w:val="none" w:sz="0" w:space="0" w:color="auto"/>
        <w:bottom w:val="none" w:sz="0" w:space="0" w:color="auto"/>
        <w:right w:val="none" w:sz="0" w:space="0" w:color="auto"/>
      </w:divBdr>
    </w:div>
    <w:div w:id="1956211902">
      <w:bodyDiv w:val="1"/>
      <w:marLeft w:val="0"/>
      <w:marRight w:val="0"/>
      <w:marTop w:val="0"/>
      <w:marBottom w:val="0"/>
      <w:divBdr>
        <w:top w:val="none" w:sz="0" w:space="0" w:color="auto"/>
        <w:left w:val="none" w:sz="0" w:space="0" w:color="auto"/>
        <w:bottom w:val="none" w:sz="0" w:space="0" w:color="auto"/>
        <w:right w:val="none" w:sz="0" w:space="0" w:color="auto"/>
      </w:divBdr>
    </w:div>
    <w:div w:id="1957252782">
      <w:bodyDiv w:val="1"/>
      <w:marLeft w:val="0"/>
      <w:marRight w:val="0"/>
      <w:marTop w:val="0"/>
      <w:marBottom w:val="0"/>
      <w:divBdr>
        <w:top w:val="none" w:sz="0" w:space="0" w:color="auto"/>
        <w:left w:val="none" w:sz="0" w:space="0" w:color="auto"/>
        <w:bottom w:val="none" w:sz="0" w:space="0" w:color="auto"/>
        <w:right w:val="none" w:sz="0" w:space="0" w:color="auto"/>
      </w:divBdr>
    </w:div>
    <w:div w:id="1958633133">
      <w:bodyDiv w:val="1"/>
      <w:marLeft w:val="0"/>
      <w:marRight w:val="0"/>
      <w:marTop w:val="0"/>
      <w:marBottom w:val="0"/>
      <w:divBdr>
        <w:top w:val="none" w:sz="0" w:space="0" w:color="auto"/>
        <w:left w:val="none" w:sz="0" w:space="0" w:color="auto"/>
        <w:bottom w:val="none" w:sz="0" w:space="0" w:color="auto"/>
        <w:right w:val="none" w:sz="0" w:space="0" w:color="auto"/>
      </w:divBdr>
    </w:div>
    <w:div w:id="1959604986">
      <w:bodyDiv w:val="1"/>
      <w:marLeft w:val="0"/>
      <w:marRight w:val="0"/>
      <w:marTop w:val="0"/>
      <w:marBottom w:val="0"/>
      <w:divBdr>
        <w:top w:val="none" w:sz="0" w:space="0" w:color="auto"/>
        <w:left w:val="none" w:sz="0" w:space="0" w:color="auto"/>
        <w:bottom w:val="none" w:sz="0" w:space="0" w:color="auto"/>
        <w:right w:val="none" w:sz="0" w:space="0" w:color="auto"/>
      </w:divBdr>
    </w:div>
    <w:div w:id="1963221716">
      <w:bodyDiv w:val="1"/>
      <w:marLeft w:val="0"/>
      <w:marRight w:val="0"/>
      <w:marTop w:val="0"/>
      <w:marBottom w:val="0"/>
      <w:divBdr>
        <w:top w:val="none" w:sz="0" w:space="0" w:color="auto"/>
        <w:left w:val="none" w:sz="0" w:space="0" w:color="auto"/>
        <w:bottom w:val="none" w:sz="0" w:space="0" w:color="auto"/>
        <w:right w:val="none" w:sz="0" w:space="0" w:color="auto"/>
      </w:divBdr>
    </w:div>
    <w:div w:id="1966815868">
      <w:bodyDiv w:val="1"/>
      <w:marLeft w:val="0"/>
      <w:marRight w:val="0"/>
      <w:marTop w:val="0"/>
      <w:marBottom w:val="0"/>
      <w:divBdr>
        <w:top w:val="none" w:sz="0" w:space="0" w:color="auto"/>
        <w:left w:val="none" w:sz="0" w:space="0" w:color="auto"/>
        <w:bottom w:val="none" w:sz="0" w:space="0" w:color="auto"/>
        <w:right w:val="none" w:sz="0" w:space="0" w:color="auto"/>
      </w:divBdr>
    </w:div>
    <w:div w:id="1970435915">
      <w:bodyDiv w:val="1"/>
      <w:marLeft w:val="0"/>
      <w:marRight w:val="0"/>
      <w:marTop w:val="0"/>
      <w:marBottom w:val="0"/>
      <w:divBdr>
        <w:top w:val="none" w:sz="0" w:space="0" w:color="auto"/>
        <w:left w:val="none" w:sz="0" w:space="0" w:color="auto"/>
        <w:bottom w:val="none" w:sz="0" w:space="0" w:color="auto"/>
        <w:right w:val="none" w:sz="0" w:space="0" w:color="auto"/>
      </w:divBdr>
    </w:div>
    <w:div w:id="1972444779">
      <w:bodyDiv w:val="1"/>
      <w:marLeft w:val="0"/>
      <w:marRight w:val="0"/>
      <w:marTop w:val="0"/>
      <w:marBottom w:val="0"/>
      <w:divBdr>
        <w:top w:val="none" w:sz="0" w:space="0" w:color="auto"/>
        <w:left w:val="none" w:sz="0" w:space="0" w:color="auto"/>
        <w:bottom w:val="none" w:sz="0" w:space="0" w:color="auto"/>
        <w:right w:val="none" w:sz="0" w:space="0" w:color="auto"/>
      </w:divBdr>
    </w:div>
    <w:div w:id="1974552843">
      <w:bodyDiv w:val="1"/>
      <w:marLeft w:val="0"/>
      <w:marRight w:val="0"/>
      <w:marTop w:val="0"/>
      <w:marBottom w:val="0"/>
      <w:divBdr>
        <w:top w:val="none" w:sz="0" w:space="0" w:color="auto"/>
        <w:left w:val="none" w:sz="0" w:space="0" w:color="auto"/>
        <w:bottom w:val="none" w:sz="0" w:space="0" w:color="auto"/>
        <w:right w:val="none" w:sz="0" w:space="0" w:color="auto"/>
      </w:divBdr>
    </w:div>
    <w:div w:id="1975259237">
      <w:bodyDiv w:val="1"/>
      <w:marLeft w:val="0"/>
      <w:marRight w:val="0"/>
      <w:marTop w:val="0"/>
      <w:marBottom w:val="0"/>
      <w:divBdr>
        <w:top w:val="none" w:sz="0" w:space="0" w:color="auto"/>
        <w:left w:val="none" w:sz="0" w:space="0" w:color="auto"/>
        <w:bottom w:val="none" w:sz="0" w:space="0" w:color="auto"/>
        <w:right w:val="none" w:sz="0" w:space="0" w:color="auto"/>
      </w:divBdr>
    </w:div>
    <w:div w:id="1975480504">
      <w:bodyDiv w:val="1"/>
      <w:marLeft w:val="0"/>
      <w:marRight w:val="0"/>
      <w:marTop w:val="0"/>
      <w:marBottom w:val="0"/>
      <w:divBdr>
        <w:top w:val="none" w:sz="0" w:space="0" w:color="auto"/>
        <w:left w:val="none" w:sz="0" w:space="0" w:color="auto"/>
        <w:bottom w:val="none" w:sz="0" w:space="0" w:color="auto"/>
        <w:right w:val="none" w:sz="0" w:space="0" w:color="auto"/>
      </w:divBdr>
    </w:div>
    <w:div w:id="1977177549">
      <w:bodyDiv w:val="1"/>
      <w:marLeft w:val="0"/>
      <w:marRight w:val="0"/>
      <w:marTop w:val="0"/>
      <w:marBottom w:val="0"/>
      <w:divBdr>
        <w:top w:val="none" w:sz="0" w:space="0" w:color="auto"/>
        <w:left w:val="none" w:sz="0" w:space="0" w:color="auto"/>
        <w:bottom w:val="none" w:sz="0" w:space="0" w:color="auto"/>
        <w:right w:val="none" w:sz="0" w:space="0" w:color="auto"/>
      </w:divBdr>
    </w:div>
    <w:div w:id="1979798860">
      <w:bodyDiv w:val="1"/>
      <w:marLeft w:val="0"/>
      <w:marRight w:val="0"/>
      <w:marTop w:val="0"/>
      <w:marBottom w:val="0"/>
      <w:divBdr>
        <w:top w:val="none" w:sz="0" w:space="0" w:color="auto"/>
        <w:left w:val="none" w:sz="0" w:space="0" w:color="auto"/>
        <w:bottom w:val="none" w:sz="0" w:space="0" w:color="auto"/>
        <w:right w:val="none" w:sz="0" w:space="0" w:color="auto"/>
      </w:divBdr>
    </w:div>
    <w:div w:id="1983919154">
      <w:bodyDiv w:val="1"/>
      <w:marLeft w:val="0"/>
      <w:marRight w:val="0"/>
      <w:marTop w:val="0"/>
      <w:marBottom w:val="0"/>
      <w:divBdr>
        <w:top w:val="none" w:sz="0" w:space="0" w:color="auto"/>
        <w:left w:val="none" w:sz="0" w:space="0" w:color="auto"/>
        <w:bottom w:val="none" w:sz="0" w:space="0" w:color="auto"/>
        <w:right w:val="none" w:sz="0" w:space="0" w:color="auto"/>
      </w:divBdr>
    </w:div>
    <w:div w:id="1984188500">
      <w:bodyDiv w:val="1"/>
      <w:marLeft w:val="0"/>
      <w:marRight w:val="0"/>
      <w:marTop w:val="0"/>
      <w:marBottom w:val="0"/>
      <w:divBdr>
        <w:top w:val="none" w:sz="0" w:space="0" w:color="auto"/>
        <w:left w:val="none" w:sz="0" w:space="0" w:color="auto"/>
        <w:bottom w:val="none" w:sz="0" w:space="0" w:color="auto"/>
        <w:right w:val="none" w:sz="0" w:space="0" w:color="auto"/>
      </w:divBdr>
    </w:div>
    <w:div w:id="1991901433">
      <w:bodyDiv w:val="1"/>
      <w:marLeft w:val="0"/>
      <w:marRight w:val="0"/>
      <w:marTop w:val="0"/>
      <w:marBottom w:val="0"/>
      <w:divBdr>
        <w:top w:val="none" w:sz="0" w:space="0" w:color="auto"/>
        <w:left w:val="none" w:sz="0" w:space="0" w:color="auto"/>
        <w:bottom w:val="none" w:sz="0" w:space="0" w:color="auto"/>
        <w:right w:val="none" w:sz="0" w:space="0" w:color="auto"/>
      </w:divBdr>
    </w:div>
    <w:div w:id="1994530851">
      <w:bodyDiv w:val="1"/>
      <w:marLeft w:val="0"/>
      <w:marRight w:val="0"/>
      <w:marTop w:val="0"/>
      <w:marBottom w:val="0"/>
      <w:divBdr>
        <w:top w:val="none" w:sz="0" w:space="0" w:color="auto"/>
        <w:left w:val="none" w:sz="0" w:space="0" w:color="auto"/>
        <w:bottom w:val="none" w:sz="0" w:space="0" w:color="auto"/>
        <w:right w:val="none" w:sz="0" w:space="0" w:color="auto"/>
      </w:divBdr>
    </w:div>
    <w:div w:id="1996759273">
      <w:bodyDiv w:val="1"/>
      <w:marLeft w:val="0"/>
      <w:marRight w:val="0"/>
      <w:marTop w:val="0"/>
      <w:marBottom w:val="0"/>
      <w:divBdr>
        <w:top w:val="none" w:sz="0" w:space="0" w:color="auto"/>
        <w:left w:val="none" w:sz="0" w:space="0" w:color="auto"/>
        <w:bottom w:val="none" w:sz="0" w:space="0" w:color="auto"/>
        <w:right w:val="none" w:sz="0" w:space="0" w:color="auto"/>
      </w:divBdr>
    </w:div>
    <w:div w:id="1999650168">
      <w:bodyDiv w:val="1"/>
      <w:marLeft w:val="0"/>
      <w:marRight w:val="0"/>
      <w:marTop w:val="0"/>
      <w:marBottom w:val="0"/>
      <w:divBdr>
        <w:top w:val="none" w:sz="0" w:space="0" w:color="auto"/>
        <w:left w:val="none" w:sz="0" w:space="0" w:color="auto"/>
        <w:bottom w:val="none" w:sz="0" w:space="0" w:color="auto"/>
        <w:right w:val="none" w:sz="0" w:space="0" w:color="auto"/>
      </w:divBdr>
    </w:div>
    <w:div w:id="2009014663">
      <w:bodyDiv w:val="1"/>
      <w:marLeft w:val="0"/>
      <w:marRight w:val="0"/>
      <w:marTop w:val="0"/>
      <w:marBottom w:val="0"/>
      <w:divBdr>
        <w:top w:val="none" w:sz="0" w:space="0" w:color="auto"/>
        <w:left w:val="none" w:sz="0" w:space="0" w:color="auto"/>
        <w:bottom w:val="none" w:sz="0" w:space="0" w:color="auto"/>
        <w:right w:val="none" w:sz="0" w:space="0" w:color="auto"/>
      </w:divBdr>
    </w:div>
    <w:div w:id="2009285280">
      <w:bodyDiv w:val="1"/>
      <w:marLeft w:val="0"/>
      <w:marRight w:val="0"/>
      <w:marTop w:val="0"/>
      <w:marBottom w:val="0"/>
      <w:divBdr>
        <w:top w:val="none" w:sz="0" w:space="0" w:color="auto"/>
        <w:left w:val="none" w:sz="0" w:space="0" w:color="auto"/>
        <w:bottom w:val="none" w:sz="0" w:space="0" w:color="auto"/>
        <w:right w:val="none" w:sz="0" w:space="0" w:color="auto"/>
      </w:divBdr>
    </w:div>
    <w:div w:id="2021196973">
      <w:bodyDiv w:val="1"/>
      <w:marLeft w:val="0"/>
      <w:marRight w:val="0"/>
      <w:marTop w:val="0"/>
      <w:marBottom w:val="0"/>
      <w:divBdr>
        <w:top w:val="none" w:sz="0" w:space="0" w:color="auto"/>
        <w:left w:val="none" w:sz="0" w:space="0" w:color="auto"/>
        <w:bottom w:val="none" w:sz="0" w:space="0" w:color="auto"/>
        <w:right w:val="none" w:sz="0" w:space="0" w:color="auto"/>
      </w:divBdr>
    </w:div>
    <w:div w:id="2022316769">
      <w:bodyDiv w:val="1"/>
      <w:marLeft w:val="0"/>
      <w:marRight w:val="0"/>
      <w:marTop w:val="0"/>
      <w:marBottom w:val="0"/>
      <w:divBdr>
        <w:top w:val="none" w:sz="0" w:space="0" w:color="auto"/>
        <w:left w:val="none" w:sz="0" w:space="0" w:color="auto"/>
        <w:bottom w:val="none" w:sz="0" w:space="0" w:color="auto"/>
        <w:right w:val="none" w:sz="0" w:space="0" w:color="auto"/>
      </w:divBdr>
    </w:div>
    <w:div w:id="2024815977">
      <w:bodyDiv w:val="1"/>
      <w:marLeft w:val="0"/>
      <w:marRight w:val="0"/>
      <w:marTop w:val="0"/>
      <w:marBottom w:val="0"/>
      <w:divBdr>
        <w:top w:val="none" w:sz="0" w:space="0" w:color="auto"/>
        <w:left w:val="none" w:sz="0" w:space="0" w:color="auto"/>
        <w:bottom w:val="none" w:sz="0" w:space="0" w:color="auto"/>
        <w:right w:val="none" w:sz="0" w:space="0" w:color="auto"/>
      </w:divBdr>
    </w:div>
    <w:div w:id="2025470326">
      <w:bodyDiv w:val="1"/>
      <w:marLeft w:val="0"/>
      <w:marRight w:val="0"/>
      <w:marTop w:val="0"/>
      <w:marBottom w:val="0"/>
      <w:divBdr>
        <w:top w:val="none" w:sz="0" w:space="0" w:color="auto"/>
        <w:left w:val="none" w:sz="0" w:space="0" w:color="auto"/>
        <w:bottom w:val="none" w:sz="0" w:space="0" w:color="auto"/>
        <w:right w:val="none" w:sz="0" w:space="0" w:color="auto"/>
      </w:divBdr>
    </w:div>
    <w:div w:id="2025934514">
      <w:bodyDiv w:val="1"/>
      <w:marLeft w:val="0"/>
      <w:marRight w:val="0"/>
      <w:marTop w:val="0"/>
      <w:marBottom w:val="0"/>
      <w:divBdr>
        <w:top w:val="none" w:sz="0" w:space="0" w:color="auto"/>
        <w:left w:val="none" w:sz="0" w:space="0" w:color="auto"/>
        <w:bottom w:val="none" w:sz="0" w:space="0" w:color="auto"/>
        <w:right w:val="none" w:sz="0" w:space="0" w:color="auto"/>
      </w:divBdr>
    </w:div>
    <w:div w:id="2028629587">
      <w:bodyDiv w:val="1"/>
      <w:marLeft w:val="0"/>
      <w:marRight w:val="0"/>
      <w:marTop w:val="0"/>
      <w:marBottom w:val="0"/>
      <w:divBdr>
        <w:top w:val="none" w:sz="0" w:space="0" w:color="auto"/>
        <w:left w:val="none" w:sz="0" w:space="0" w:color="auto"/>
        <w:bottom w:val="none" w:sz="0" w:space="0" w:color="auto"/>
        <w:right w:val="none" w:sz="0" w:space="0" w:color="auto"/>
      </w:divBdr>
    </w:div>
    <w:div w:id="2030449929">
      <w:bodyDiv w:val="1"/>
      <w:marLeft w:val="0"/>
      <w:marRight w:val="0"/>
      <w:marTop w:val="0"/>
      <w:marBottom w:val="0"/>
      <w:divBdr>
        <w:top w:val="none" w:sz="0" w:space="0" w:color="auto"/>
        <w:left w:val="none" w:sz="0" w:space="0" w:color="auto"/>
        <w:bottom w:val="none" w:sz="0" w:space="0" w:color="auto"/>
        <w:right w:val="none" w:sz="0" w:space="0" w:color="auto"/>
      </w:divBdr>
    </w:div>
    <w:div w:id="2042707840">
      <w:bodyDiv w:val="1"/>
      <w:marLeft w:val="0"/>
      <w:marRight w:val="0"/>
      <w:marTop w:val="0"/>
      <w:marBottom w:val="0"/>
      <w:divBdr>
        <w:top w:val="none" w:sz="0" w:space="0" w:color="auto"/>
        <w:left w:val="none" w:sz="0" w:space="0" w:color="auto"/>
        <w:bottom w:val="none" w:sz="0" w:space="0" w:color="auto"/>
        <w:right w:val="none" w:sz="0" w:space="0" w:color="auto"/>
      </w:divBdr>
    </w:div>
    <w:div w:id="2042896136">
      <w:bodyDiv w:val="1"/>
      <w:marLeft w:val="0"/>
      <w:marRight w:val="0"/>
      <w:marTop w:val="0"/>
      <w:marBottom w:val="0"/>
      <w:divBdr>
        <w:top w:val="none" w:sz="0" w:space="0" w:color="auto"/>
        <w:left w:val="none" w:sz="0" w:space="0" w:color="auto"/>
        <w:bottom w:val="none" w:sz="0" w:space="0" w:color="auto"/>
        <w:right w:val="none" w:sz="0" w:space="0" w:color="auto"/>
      </w:divBdr>
    </w:div>
    <w:div w:id="2045984858">
      <w:bodyDiv w:val="1"/>
      <w:marLeft w:val="0"/>
      <w:marRight w:val="0"/>
      <w:marTop w:val="0"/>
      <w:marBottom w:val="0"/>
      <w:divBdr>
        <w:top w:val="none" w:sz="0" w:space="0" w:color="auto"/>
        <w:left w:val="none" w:sz="0" w:space="0" w:color="auto"/>
        <w:bottom w:val="none" w:sz="0" w:space="0" w:color="auto"/>
        <w:right w:val="none" w:sz="0" w:space="0" w:color="auto"/>
      </w:divBdr>
    </w:div>
    <w:div w:id="2055108507">
      <w:bodyDiv w:val="1"/>
      <w:marLeft w:val="0"/>
      <w:marRight w:val="0"/>
      <w:marTop w:val="0"/>
      <w:marBottom w:val="0"/>
      <w:divBdr>
        <w:top w:val="none" w:sz="0" w:space="0" w:color="auto"/>
        <w:left w:val="none" w:sz="0" w:space="0" w:color="auto"/>
        <w:bottom w:val="none" w:sz="0" w:space="0" w:color="auto"/>
        <w:right w:val="none" w:sz="0" w:space="0" w:color="auto"/>
      </w:divBdr>
    </w:div>
    <w:div w:id="2055999187">
      <w:bodyDiv w:val="1"/>
      <w:marLeft w:val="0"/>
      <w:marRight w:val="0"/>
      <w:marTop w:val="0"/>
      <w:marBottom w:val="0"/>
      <w:divBdr>
        <w:top w:val="none" w:sz="0" w:space="0" w:color="auto"/>
        <w:left w:val="none" w:sz="0" w:space="0" w:color="auto"/>
        <w:bottom w:val="none" w:sz="0" w:space="0" w:color="auto"/>
        <w:right w:val="none" w:sz="0" w:space="0" w:color="auto"/>
      </w:divBdr>
    </w:div>
    <w:div w:id="2057580988">
      <w:bodyDiv w:val="1"/>
      <w:marLeft w:val="0"/>
      <w:marRight w:val="0"/>
      <w:marTop w:val="0"/>
      <w:marBottom w:val="0"/>
      <w:divBdr>
        <w:top w:val="none" w:sz="0" w:space="0" w:color="auto"/>
        <w:left w:val="none" w:sz="0" w:space="0" w:color="auto"/>
        <w:bottom w:val="none" w:sz="0" w:space="0" w:color="auto"/>
        <w:right w:val="none" w:sz="0" w:space="0" w:color="auto"/>
      </w:divBdr>
    </w:div>
    <w:div w:id="2058771189">
      <w:bodyDiv w:val="1"/>
      <w:marLeft w:val="0"/>
      <w:marRight w:val="0"/>
      <w:marTop w:val="0"/>
      <w:marBottom w:val="0"/>
      <w:divBdr>
        <w:top w:val="none" w:sz="0" w:space="0" w:color="auto"/>
        <w:left w:val="none" w:sz="0" w:space="0" w:color="auto"/>
        <w:bottom w:val="none" w:sz="0" w:space="0" w:color="auto"/>
        <w:right w:val="none" w:sz="0" w:space="0" w:color="auto"/>
      </w:divBdr>
    </w:div>
    <w:div w:id="2059549426">
      <w:bodyDiv w:val="1"/>
      <w:marLeft w:val="0"/>
      <w:marRight w:val="0"/>
      <w:marTop w:val="0"/>
      <w:marBottom w:val="0"/>
      <w:divBdr>
        <w:top w:val="none" w:sz="0" w:space="0" w:color="auto"/>
        <w:left w:val="none" w:sz="0" w:space="0" w:color="auto"/>
        <w:bottom w:val="none" w:sz="0" w:space="0" w:color="auto"/>
        <w:right w:val="none" w:sz="0" w:space="0" w:color="auto"/>
      </w:divBdr>
    </w:div>
    <w:div w:id="2060744697">
      <w:bodyDiv w:val="1"/>
      <w:marLeft w:val="0"/>
      <w:marRight w:val="0"/>
      <w:marTop w:val="0"/>
      <w:marBottom w:val="0"/>
      <w:divBdr>
        <w:top w:val="none" w:sz="0" w:space="0" w:color="auto"/>
        <w:left w:val="none" w:sz="0" w:space="0" w:color="auto"/>
        <w:bottom w:val="none" w:sz="0" w:space="0" w:color="auto"/>
        <w:right w:val="none" w:sz="0" w:space="0" w:color="auto"/>
      </w:divBdr>
    </w:div>
    <w:div w:id="2060938440">
      <w:bodyDiv w:val="1"/>
      <w:marLeft w:val="0"/>
      <w:marRight w:val="0"/>
      <w:marTop w:val="0"/>
      <w:marBottom w:val="0"/>
      <w:divBdr>
        <w:top w:val="none" w:sz="0" w:space="0" w:color="auto"/>
        <w:left w:val="none" w:sz="0" w:space="0" w:color="auto"/>
        <w:bottom w:val="none" w:sz="0" w:space="0" w:color="auto"/>
        <w:right w:val="none" w:sz="0" w:space="0" w:color="auto"/>
      </w:divBdr>
    </w:div>
    <w:div w:id="2061436015">
      <w:bodyDiv w:val="1"/>
      <w:marLeft w:val="0"/>
      <w:marRight w:val="0"/>
      <w:marTop w:val="0"/>
      <w:marBottom w:val="0"/>
      <w:divBdr>
        <w:top w:val="none" w:sz="0" w:space="0" w:color="auto"/>
        <w:left w:val="none" w:sz="0" w:space="0" w:color="auto"/>
        <w:bottom w:val="none" w:sz="0" w:space="0" w:color="auto"/>
        <w:right w:val="none" w:sz="0" w:space="0" w:color="auto"/>
      </w:divBdr>
    </w:div>
    <w:div w:id="2067416451">
      <w:bodyDiv w:val="1"/>
      <w:marLeft w:val="0"/>
      <w:marRight w:val="0"/>
      <w:marTop w:val="0"/>
      <w:marBottom w:val="0"/>
      <w:divBdr>
        <w:top w:val="none" w:sz="0" w:space="0" w:color="auto"/>
        <w:left w:val="none" w:sz="0" w:space="0" w:color="auto"/>
        <w:bottom w:val="none" w:sz="0" w:space="0" w:color="auto"/>
        <w:right w:val="none" w:sz="0" w:space="0" w:color="auto"/>
      </w:divBdr>
    </w:div>
    <w:div w:id="2077195761">
      <w:bodyDiv w:val="1"/>
      <w:marLeft w:val="0"/>
      <w:marRight w:val="0"/>
      <w:marTop w:val="0"/>
      <w:marBottom w:val="0"/>
      <w:divBdr>
        <w:top w:val="none" w:sz="0" w:space="0" w:color="auto"/>
        <w:left w:val="none" w:sz="0" w:space="0" w:color="auto"/>
        <w:bottom w:val="none" w:sz="0" w:space="0" w:color="auto"/>
        <w:right w:val="none" w:sz="0" w:space="0" w:color="auto"/>
      </w:divBdr>
    </w:div>
    <w:div w:id="2077390564">
      <w:bodyDiv w:val="1"/>
      <w:marLeft w:val="0"/>
      <w:marRight w:val="0"/>
      <w:marTop w:val="0"/>
      <w:marBottom w:val="0"/>
      <w:divBdr>
        <w:top w:val="none" w:sz="0" w:space="0" w:color="auto"/>
        <w:left w:val="none" w:sz="0" w:space="0" w:color="auto"/>
        <w:bottom w:val="none" w:sz="0" w:space="0" w:color="auto"/>
        <w:right w:val="none" w:sz="0" w:space="0" w:color="auto"/>
      </w:divBdr>
    </w:div>
    <w:div w:id="2079396524">
      <w:bodyDiv w:val="1"/>
      <w:marLeft w:val="0"/>
      <w:marRight w:val="0"/>
      <w:marTop w:val="0"/>
      <w:marBottom w:val="0"/>
      <w:divBdr>
        <w:top w:val="none" w:sz="0" w:space="0" w:color="auto"/>
        <w:left w:val="none" w:sz="0" w:space="0" w:color="auto"/>
        <w:bottom w:val="none" w:sz="0" w:space="0" w:color="auto"/>
        <w:right w:val="none" w:sz="0" w:space="0" w:color="auto"/>
      </w:divBdr>
    </w:div>
    <w:div w:id="2079480063">
      <w:bodyDiv w:val="1"/>
      <w:marLeft w:val="0"/>
      <w:marRight w:val="0"/>
      <w:marTop w:val="0"/>
      <w:marBottom w:val="0"/>
      <w:divBdr>
        <w:top w:val="none" w:sz="0" w:space="0" w:color="auto"/>
        <w:left w:val="none" w:sz="0" w:space="0" w:color="auto"/>
        <w:bottom w:val="none" w:sz="0" w:space="0" w:color="auto"/>
        <w:right w:val="none" w:sz="0" w:space="0" w:color="auto"/>
      </w:divBdr>
    </w:div>
    <w:div w:id="2083596249">
      <w:bodyDiv w:val="1"/>
      <w:marLeft w:val="0"/>
      <w:marRight w:val="0"/>
      <w:marTop w:val="0"/>
      <w:marBottom w:val="0"/>
      <w:divBdr>
        <w:top w:val="none" w:sz="0" w:space="0" w:color="auto"/>
        <w:left w:val="none" w:sz="0" w:space="0" w:color="auto"/>
        <w:bottom w:val="none" w:sz="0" w:space="0" w:color="auto"/>
        <w:right w:val="none" w:sz="0" w:space="0" w:color="auto"/>
      </w:divBdr>
    </w:div>
    <w:div w:id="2083678951">
      <w:bodyDiv w:val="1"/>
      <w:marLeft w:val="0"/>
      <w:marRight w:val="0"/>
      <w:marTop w:val="0"/>
      <w:marBottom w:val="0"/>
      <w:divBdr>
        <w:top w:val="none" w:sz="0" w:space="0" w:color="auto"/>
        <w:left w:val="none" w:sz="0" w:space="0" w:color="auto"/>
        <w:bottom w:val="none" w:sz="0" w:space="0" w:color="auto"/>
        <w:right w:val="none" w:sz="0" w:space="0" w:color="auto"/>
      </w:divBdr>
    </w:div>
    <w:div w:id="2084989128">
      <w:bodyDiv w:val="1"/>
      <w:marLeft w:val="0"/>
      <w:marRight w:val="0"/>
      <w:marTop w:val="0"/>
      <w:marBottom w:val="0"/>
      <w:divBdr>
        <w:top w:val="none" w:sz="0" w:space="0" w:color="auto"/>
        <w:left w:val="none" w:sz="0" w:space="0" w:color="auto"/>
        <w:bottom w:val="none" w:sz="0" w:space="0" w:color="auto"/>
        <w:right w:val="none" w:sz="0" w:space="0" w:color="auto"/>
      </w:divBdr>
    </w:div>
    <w:div w:id="2085565255">
      <w:bodyDiv w:val="1"/>
      <w:marLeft w:val="0"/>
      <w:marRight w:val="0"/>
      <w:marTop w:val="0"/>
      <w:marBottom w:val="0"/>
      <w:divBdr>
        <w:top w:val="none" w:sz="0" w:space="0" w:color="auto"/>
        <w:left w:val="none" w:sz="0" w:space="0" w:color="auto"/>
        <w:bottom w:val="none" w:sz="0" w:space="0" w:color="auto"/>
        <w:right w:val="none" w:sz="0" w:space="0" w:color="auto"/>
      </w:divBdr>
    </w:div>
    <w:div w:id="2092190286">
      <w:bodyDiv w:val="1"/>
      <w:marLeft w:val="0"/>
      <w:marRight w:val="0"/>
      <w:marTop w:val="0"/>
      <w:marBottom w:val="0"/>
      <w:divBdr>
        <w:top w:val="none" w:sz="0" w:space="0" w:color="auto"/>
        <w:left w:val="none" w:sz="0" w:space="0" w:color="auto"/>
        <w:bottom w:val="none" w:sz="0" w:space="0" w:color="auto"/>
        <w:right w:val="none" w:sz="0" w:space="0" w:color="auto"/>
      </w:divBdr>
    </w:div>
    <w:div w:id="2094693365">
      <w:bodyDiv w:val="1"/>
      <w:marLeft w:val="0"/>
      <w:marRight w:val="0"/>
      <w:marTop w:val="0"/>
      <w:marBottom w:val="0"/>
      <w:divBdr>
        <w:top w:val="none" w:sz="0" w:space="0" w:color="auto"/>
        <w:left w:val="none" w:sz="0" w:space="0" w:color="auto"/>
        <w:bottom w:val="none" w:sz="0" w:space="0" w:color="auto"/>
        <w:right w:val="none" w:sz="0" w:space="0" w:color="auto"/>
      </w:divBdr>
    </w:div>
    <w:div w:id="2105877143">
      <w:bodyDiv w:val="1"/>
      <w:marLeft w:val="0"/>
      <w:marRight w:val="0"/>
      <w:marTop w:val="0"/>
      <w:marBottom w:val="0"/>
      <w:divBdr>
        <w:top w:val="none" w:sz="0" w:space="0" w:color="auto"/>
        <w:left w:val="none" w:sz="0" w:space="0" w:color="auto"/>
        <w:bottom w:val="none" w:sz="0" w:space="0" w:color="auto"/>
        <w:right w:val="none" w:sz="0" w:space="0" w:color="auto"/>
      </w:divBdr>
    </w:div>
    <w:div w:id="2110809898">
      <w:bodyDiv w:val="1"/>
      <w:marLeft w:val="0"/>
      <w:marRight w:val="0"/>
      <w:marTop w:val="0"/>
      <w:marBottom w:val="0"/>
      <w:divBdr>
        <w:top w:val="none" w:sz="0" w:space="0" w:color="auto"/>
        <w:left w:val="none" w:sz="0" w:space="0" w:color="auto"/>
        <w:bottom w:val="none" w:sz="0" w:space="0" w:color="auto"/>
        <w:right w:val="none" w:sz="0" w:space="0" w:color="auto"/>
      </w:divBdr>
    </w:div>
    <w:div w:id="2121339644">
      <w:bodyDiv w:val="1"/>
      <w:marLeft w:val="0"/>
      <w:marRight w:val="0"/>
      <w:marTop w:val="0"/>
      <w:marBottom w:val="0"/>
      <w:divBdr>
        <w:top w:val="none" w:sz="0" w:space="0" w:color="auto"/>
        <w:left w:val="none" w:sz="0" w:space="0" w:color="auto"/>
        <w:bottom w:val="none" w:sz="0" w:space="0" w:color="auto"/>
        <w:right w:val="none" w:sz="0" w:space="0" w:color="auto"/>
      </w:divBdr>
    </w:div>
    <w:div w:id="2123961509">
      <w:bodyDiv w:val="1"/>
      <w:marLeft w:val="0"/>
      <w:marRight w:val="0"/>
      <w:marTop w:val="0"/>
      <w:marBottom w:val="0"/>
      <w:divBdr>
        <w:top w:val="none" w:sz="0" w:space="0" w:color="auto"/>
        <w:left w:val="none" w:sz="0" w:space="0" w:color="auto"/>
        <w:bottom w:val="none" w:sz="0" w:space="0" w:color="auto"/>
        <w:right w:val="none" w:sz="0" w:space="0" w:color="auto"/>
      </w:divBdr>
    </w:div>
    <w:div w:id="2126460962">
      <w:bodyDiv w:val="1"/>
      <w:marLeft w:val="0"/>
      <w:marRight w:val="0"/>
      <w:marTop w:val="0"/>
      <w:marBottom w:val="0"/>
      <w:divBdr>
        <w:top w:val="none" w:sz="0" w:space="0" w:color="auto"/>
        <w:left w:val="none" w:sz="0" w:space="0" w:color="auto"/>
        <w:bottom w:val="none" w:sz="0" w:space="0" w:color="auto"/>
        <w:right w:val="none" w:sz="0" w:space="0" w:color="auto"/>
      </w:divBdr>
    </w:div>
    <w:div w:id="2126733829">
      <w:bodyDiv w:val="1"/>
      <w:marLeft w:val="0"/>
      <w:marRight w:val="0"/>
      <w:marTop w:val="0"/>
      <w:marBottom w:val="0"/>
      <w:divBdr>
        <w:top w:val="none" w:sz="0" w:space="0" w:color="auto"/>
        <w:left w:val="none" w:sz="0" w:space="0" w:color="auto"/>
        <w:bottom w:val="none" w:sz="0" w:space="0" w:color="auto"/>
        <w:right w:val="none" w:sz="0" w:space="0" w:color="auto"/>
      </w:divBdr>
    </w:div>
    <w:div w:id="2128427513">
      <w:bodyDiv w:val="1"/>
      <w:marLeft w:val="0"/>
      <w:marRight w:val="0"/>
      <w:marTop w:val="0"/>
      <w:marBottom w:val="0"/>
      <w:divBdr>
        <w:top w:val="none" w:sz="0" w:space="0" w:color="auto"/>
        <w:left w:val="none" w:sz="0" w:space="0" w:color="auto"/>
        <w:bottom w:val="none" w:sz="0" w:space="0" w:color="auto"/>
        <w:right w:val="none" w:sz="0" w:space="0" w:color="auto"/>
      </w:divBdr>
    </w:div>
    <w:div w:id="2130510795">
      <w:bodyDiv w:val="1"/>
      <w:marLeft w:val="0"/>
      <w:marRight w:val="0"/>
      <w:marTop w:val="0"/>
      <w:marBottom w:val="0"/>
      <w:divBdr>
        <w:top w:val="none" w:sz="0" w:space="0" w:color="auto"/>
        <w:left w:val="none" w:sz="0" w:space="0" w:color="auto"/>
        <w:bottom w:val="none" w:sz="0" w:space="0" w:color="auto"/>
        <w:right w:val="none" w:sz="0" w:space="0" w:color="auto"/>
      </w:divBdr>
    </w:div>
    <w:div w:id="2134325590">
      <w:bodyDiv w:val="1"/>
      <w:marLeft w:val="0"/>
      <w:marRight w:val="0"/>
      <w:marTop w:val="0"/>
      <w:marBottom w:val="0"/>
      <w:divBdr>
        <w:top w:val="none" w:sz="0" w:space="0" w:color="auto"/>
        <w:left w:val="none" w:sz="0" w:space="0" w:color="auto"/>
        <w:bottom w:val="none" w:sz="0" w:space="0" w:color="auto"/>
        <w:right w:val="none" w:sz="0" w:space="0" w:color="auto"/>
      </w:divBdr>
    </w:div>
    <w:div w:id="2134978417">
      <w:bodyDiv w:val="1"/>
      <w:marLeft w:val="0"/>
      <w:marRight w:val="0"/>
      <w:marTop w:val="0"/>
      <w:marBottom w:val="0"/>
      <w:divBdr>
        <w:top w:val="none" w:sz="0" w:space="0" w:color="auto"/>
        <w:left w:val="none" w:sz="0" w:space="0" w:color="auto"/>
        <w:bottom w:val="none" w:sz="0" w:space="0" w:color="auto"/>
        <w:right w:val="none" w:sz="0" w:space="0" w:color="auto"/>
      </w:divBdr>
    </w:div>
    <w:div w:id="2138452658">
      <w:bodyDiv w:val="1"/>
      <w:marLeft w:val="0"/>
      <w:marRight w:val="0"/>
      <w:marTop w:val="0"/>
      <w:marBottom w:val="0"/>
      <w:divBdr>
        <w:top w:val="none" w:sz="0" w:space="0" w:color="auto"/>
        <w:left w:val="none" w:sz="0" w:space="0" w:color="auto"/>
        <w:bottom w:val="none" w:sz="0" w:space="0" w:color="auto"/>
        <w:right w:val="none" w:sz="0" w:space="0" w:color="auto"/>
      </w:divBdr>
    </w:div>
    <w:div w:id="2138525457">
      <w:bodyDiv w:val="1"/>
      <w:marLeft w:val="0"/>
      <w:marRight w:val="0"/>
      <w:marTop w:val="0"/>
      <w:marBottom w:val="0"/>
      <w:divBdr>
        <w:top w:val="none" w:sz="0" w:space="0" w:color="auto"/>
        <w:left w:val="none" w:sz="0" w:space="0" w:color="auto"/>
        <w:bottom w:val="none" w:sz="0" w:space="0" w:color="auto"/>
        <w:right w:val="none" w:sz="0" w:space="0" w:color="auto"/>
      </w:divBdr>
    </w:div>
    <w:div w:id="2142574073">
      <w:bodyDiv w:val="1"/>
      <w:marLeft w:val="0"/>
      <w:marRight w:val="0"/>
      <w:marTop w:val="0"/>
      <w:marBottom w:val="0"/>
      <w:divBdr>
        <w:top w:val="none" w:sz="0" w:space="0" w:color="auto"/>
        <w:left w:val="none" w:sz="0" w:space="0" w:color="auto"/>
        <w:bottom w:val="none" w:sz="0" w:space="0" w:color="auto"/>
        <w:right w:val="none" w:sz="0" w:space="0" w:color="auto"/>
      </w:divBdr>
    </w:div>
    <w:div w:id="2146656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D:\2022%20ENESEM\documentos%20ENESEM%202022\Metodolog&#237;a\2022_ENESEM_Documento_Metodologico_revCGTPE_1.docx" TargetMode="External"/><Relationship Id="rId18" Type="http://schemas.openxmlformats.org/officeDocument/2006/relationships/hyperlink" Target="https://www.ecuadorencifras.gob.ec/encuesta-a-empresas/" TargetMode="External"/><Relationship Id="rId26" Type="http://schemas.openxmlformats.org/officeDocument/2006/relationships/hyperlink" Target="https://www.ecuadorencifras.gob.ec/documentos/web-inec/Estadisticas_Economicas/Encuesta_Estructural_Empresarial/2021/2021_ENESEM_GuiadeBDD.pdf" TargetMode="External"/><Relationship Id="rId39" Type="http://schemas.openxmlformats.org/officeDocument/2006/relationships/image" Target="media/image14.png"/><Relationship Id="rId21" Type="http://schemas.openxmlformats.org/officeDocument/2006/relationships/hyperlink" Target="mailto:inec@inec.gob.ec" TargetMode="External"/><Relationship Id="rId34" Type="http://schemas.openxmlformats.org/officeDocument/2006/relationships/image" Target="media/image9.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D:\2022%20ENESEM\documentos%20ENESEM%202022\Metodolog&#237;a\2022_ENESEM_Documento_Metodologico_revCGTPE_1.docx"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D:\2022%20ENESEM\documentos%20ENESEM%202022\Metodolog&#237;a\2022_ENESEM_Documento_Metodologico_revCGTPE_1.docx" TargetMode="External"/><Relationship Id="rId24" Type="http://schemas.openxmlformats.org/officeDocument/2006/relationships/hyperlink" Target="https://www.ecuadorencifras.gob.ec/documentos/web-inec/Estadisticas_Economicas/Encuesta_Estructural_Empresarial/2021/2021_ENESEM_TomoI_Ficha_indicadores.zip"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fontTable" Target="fontTable.xml"/><Relationship Id="rId58"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yperlink" Target="file:///D:\2022%20ENESEM\documentos%20ENESEM%202022\Metodolog&#237;a\2022_ENESEM_Documento_Metodologico_revCGTPE_1.docx" TargetMode="External"/><Relationship Id="rId23" Type="http://schemas.openxmlformats.org/officeDocument/2006/relationships/hyperlink" Target="https://www.ecuadorencifras.gob.ec/documentos/web-inec/Estadisticas_Economicas/Encuesta_Estructural_Empresarial/2021/2021_ENESEM_Tabulados_TomoI_Excel.xlsx" TargetMode="External"/><Relationship Id="rId28" Type="http://schemas.openxmlformats.org/officeDocument/2006/relationships/hyperlink" Target="https://www.ecuadorencifras.gob.ec/directoriodeempresas/" TargetMode="External"/><Relationship Id="rId36" Type="http://schemas.openxmlformats.org/officeDocument/2006/relationships/image" Target="media/image11.png"/><Relationship Id="rId57" Type="http://schemas.microsoft.com/office/2016/09/relationships/commentsIds" Target="commentsIds.xml"/><Relationship Id="rId10" Type="http://schemas.openxmlformats.org/officeDocument/2006/relationships/hyperlink" Target="file:///D:\2022%20ENESEM\documentos%20ENESEM%202022\Metodolog&#237;a\2022_ENESEM_Documento_Metodologico_revCGTPE_1.docx" TargetMode="External"/><Relationship Id="rId19" Type="http://schemas.openxmlformats.org/officeDocument/2006/relationships/image" Target="media/image3.png"/><Relationship Id="rId31" Type="http://schemas.openxmlformats.org/officeDocument/2006/relationships/image" Target="media/image6.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file:///D:\2022%20ENESEM\documentos%20ENESEM%202022\Metodolog&#237;a\2022_ENESEM_Documento_Metodologico_revCGTPE_1.docx" TargetMode="External"/><Relationship Id="rId22" Type="http://schemas.openxmlformats.org/officeDocument/2006/relationships/hyperlink" Target="https://www.ecuadorencifras.gob.ec/documentos/web-inec/Estadisticas_Economicas/Encuesta_Estructural_Empresarial/2021/2021_BDD_ENESEM_Diccionario_de_variables.zip" TargetMode="External"/><Relationship Id="rId27" Type="http://schemas.openxmlformats.org/officeDocument/2006/relationships/hyperlink" Target="https://www.ecuadorencifras.gob.ec/comision-de-cuentas-economicas-y-productivas/" TargetMode="External"/><Relationship Id="rId30" Type="http://schemas.openxmlformats.org/officeDocument/2006/relationships/image" Target="media/image5.tmp"/><Relationship Id="rId35" Type="http://schemas.openxmlformats.org/officeDocument/2006/relationships/image" Target="media/image10.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file:///D:\2022%20ENESEM\documentos%20ENESEM%202022\Metodolog&#237;a\2022_ENESEM_Documento_Metodologico_revCGTPE_1.docx" TargetMode="External"/><Relationship Id="rId17" Type="http://schemas.openxmlformats.org/officeDocument/2006/relationships/hyperlink" Target="file:///D:\2022%20ENESEM\documentos%20ENESEM%202022\Metodolog&#237;a\2022_ENESEM_Documento_Metodologico_revCGTPE_1.docx" TargetMode="External"/><Relationship Id="rId25" Type="http://schemas.openxmlformats.org/officeDocument/2006/relationships/hyperlink" Target="https://www.ecuadorencifras.gob.ec/documentos/web-inec/Estadisticas_Economicas/Encuesta_Estructural_Empresarial/2021/2021_ENESEM_Diseno_Muestral.pdf"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theme" Target="theme/theme1.xml"/><Relationship Id="rId20" Type="http://schemas.openxmlformats.org/officeDocument/2006/relationships/hyperlink" Target="http://www.ecuadorencifras.gob.ec/requerimientos-de-informacion/" TargetMode="External"/><Relationship Id="rId4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Dir56</b:Tag>
    <b:SourceType>Report</b:SourceType>
    <b:Guid>{AA68BF0D-E2D0-45C2-9096-125F2571865F}</b:Guid>
    <b:Author>
      <b:Author>
        <b:Corporate>Dirección General del Estadística y Censos</b:Corporate>
      </b:Author>
    </b:Author>
    <b:Title>Publicación del Primer Censo Económico del Sector Industrial 1955</b:Title>
    <b:Year>1957</b:Year>
    <b:City>Quito</b:City>
    <b:Publisher>Tomado del respositorio Institucional: INEC</b:Publisher>
    <b:RefOrder>1</b:RefOrder>
  </b:Source>
  <b:Source>
    <b:Tag>Jun69</b:Tag>
    <b:SourceType>Book</b:SourceType>
    <b:Guid>{043F1CD1-5507-4C21-8FDA-B3E7EDC754A1}</b:Guid>
    <b:Title>Junta Nacional de Planificación y Coordinación: II Censo de Manufactura - Minería Volumen I</b:Title>
    <b:Year>1969</b:Year>
    <b:Author>
      <b:Author>
        <b:Corporate>JUNAPLA</b:Corporate>
      </b:Author>
    </b:Author>
    <b:City>Quito</b:City>
    <b:Publisher>Tomado del respositorio Institucional: INEC</b:Publisher>
    <b:RefOrder>2</b:RefOrder>
  </b:Source>
  <b:Source>
    <b:Tag>INE81</b:Tag>
    <b:SourceType>Book</b:SourceType>
    <b:Guid>{CC814075-4760-4C4D-B0D8-EE30D371BF4E}</b:Guid>
    <b:Title>Censos Económicos, Proyecto Ecuador 1980</b:Title>
    <b:Year>1981</b:Year>
    <b:Author>
      <b:Author>
        <b:Corporate>INEC</b:Corporate>
      </b:Author>
    </b:Author>
    <b:City>Quito</b:City>
    <b:Publisher>Tomado del respositorio Institucional: INEC</b:Publisher>
    <b:RefOrder>3</b:RefOrder>
  </b:Source>
  <b:Source>
    <b:Tag>MarcadorDePosición2</b:Tag>
    <b:SourceType>Book</b:SourceType>
    <b:Guid>{BBFBB0BF-6BFA-4E39-9180-FD64A27BC4DE}</b:Guid>
    <b:Author>
      <b:Author>
        <b:Corporate>INEC</b:Corporate>
      </b:Author>
    </b:Author>
    <b:Title>Publicación Encuesta de Manufactura y Minería</b:Title>
    <b:Year>1983</b:Year>
    <b:City>Quito</b:City>
    <b:Publisher>Tomado del respositorio Institucional: INEC</b:Publisher>
    <b:RefOrder>4</b:RefOrder>
  </b:Source>
  <b:Source>
    <b:Tag>MarcadorDePosición10</b:Tag>
    <b:SourceType>Book</b:SourceType>
    <b:Guid>{3EECC5C5-EE51-4705-861B-E36EFB339360}</b:Guid>
    <b:Author>
      <b:Author>
        <b:Corporate>INEC</b:Corporate>
      </b:Author>
    </b:Author>
    <b:Title>Publicación Encuesta Manufactura y Minería</b:Title>
    <b:Year>1984</b:Year>
    <b:City>Quito</b:City>
    <b:Publisher>Tomado del respositorio Institucional: INEC</b:Publisher>
    <b:RefOrder>5</b:RefOrder>
  </b:Source>
  <b:Source>
    <b:Tag>ENCre</b:Tag>
    <b:SourceType>Book</b:SourceType>
    <b:Guid>{5BB1CB39-F11E-4849-AD8C-C6BD2E143096}</b:Guid>
    <b:Title>Publicación: Encuesta Manufactura y Minería</b:Title>
    <b:Year>1985</b:Year>
    <b:Publisher>Tomado del respositorio Institucional: INEC</b:Publisher>
    <b:Author>
      <b:Author>
        <b:Corporate>INEC</b:Corporate>
      </b:Author>
    </b:Author>
    <b:City>Quito</b:City>
    <b:RefOrder>6</b:RefOrder>
  </b:Source>
  <b:Source>
    <b:Tag>INE15</b:Tag>
    <b:SourceType>DocumentFromInternetSite</b:SourceType>
    <b:Guid>{A3B24CD2-CDE7-4084-8263-3E3C8075E47C}</b:Guid>
    <b:Title>Revista de Estadística y Metodologías Tomo 2</b:Title>
    <b:Year>2016</b:Year>
    <b:Author>
      <b:Author>
        <b:Corporate>INEC</b:Corporate>
      </b:Author>
    </b:Author>
    <b:Month>11</b:Month>
    <b:YearAccessed>2019</b:YearAccessed>
    <b:URL>http://www.ecuadorencifras.gob.ec/documentos/web-inec/Bibliotecas/Revista_Estadistica/Revista_de_Estadistica_y_MetodologiasTomo-2.pdf</b:URL>
    <b:Day>1</b:Day>
    <b:MonthAccessed>4</b:MonthAccessed>
    <b:DayAccessed>18</b:DayAccessed>
    <b:RefOrder>7</b:RefOrder>
  </b:Source>
  <b:Source>
    <b:Tag>INE08</b:Tag>
    <b:SourceType>InternetSite</b:SourceType>
    <b:Guid>{64370E45-0531-4D3F-B301-E06511B203CB}</b:Guid>
    <b:Title>Archivo Nacional de Datos y Metadatos Estadísticos (ANDA)</b:Title>
    <b:Year>2008</b:Year>
    <b:Author>
      <b:Author>
        <b:Corporate>INEC</b:Corporate>
      </b:Author>
    </b:Author>
    <b:InternetSiteTitle>Ecuador en cifras</b:InternetSiteTitle>
    <b:URL>http://anda.inec.gob.ec/anda/index.php/catalog/224</b:URL>
    <b:RefOrder>8</b:RefOrder>
  </b:Source>
  <b:Source>
    <b:Tag>INE151</b:Tag>
    <b:SourceType>DocumentFromInternetSite</b:SourceType>
    <b:Guid>{908B03FF-E315-47A5-99AB-44E153D9FEAB}</b:Guid>
    <b:Title>Nota técnica-INEC-001: Empalme de las Encuestas Industriales 2010 y 2012 con la Encuesta Exhaustiva 2011 - NotaTécnica</b:Title>
    <b:Year>2015 a</b:Year>
    <b:Author>
      <b:Author>
        <b:Corporate>INEC</b:Corporate>
      </b:Author>
    </b:Author>
    <b:InternetSiteTitle>Encuesta de Manufactura, Minería y Construcción 2014, Tomo I, Tomo II</b:InternetSiteTitle>
    <b:URL>http://anda.inec.gob.ec/anda/index.php/catalog/519/related_materials</b:URL>
    <b:YearAccessed>2019</b:YearAccessed>
    <b:MonthAccessed>4</b:MonthAccessed>
    <b:DayAccessed>23</b:DayAccessed>
    <b:RefOrder>9</b:RefOrder>
  </b:Source>
  <b:Source>
    <b:Tag>INE</b:Tag>
    <b:SourceType>DocumentFromInternetSite</b:SourceType>
    <b:Guid>{6626BE3F-C40D-44D7-91AE-4EACC85980F9}</b:Guid>
    <b:Title>Revista de Estadística y Metodologías Tomo I</b:Title>
    <b:Author>
      <b:Author>
        <b:Corporate>INEC</b:Corporate>
      </b:Author>
    </b:Author>
    <b:URL>http://www.ecuadorencifras.gob.ec/documentos/web-inec/Bibliotecas/Revista_Estadistica/Revista_de_Estadistica_y_Metodologias-Tomo-I.pdf</b:URL>
    <b:Year>2015 b</b:Year>
    <b:Month>5</b:Month>
    <b:Day>1</b:Day>
    <b:YearAccessed>2019</b:YearAccessed>
    <b:MonthAccessed>4</b:MonthAccessed>
    <b:DayAccessed>22</b:DayAccessed>
    <b:RefOrder>10</b:RefOrder>
  </b:Source>
  <b:Source>
    <b:Tag>MarcadorDePosición5</b:Tag>
    <b:SourceType>DocumentFromInternetSite</b:SourceType>
    <b:Guid>{392FCA7D-37A3-4BDE-9584-78BA37BBE444}</b:Guid>
    <b:Author>
      <b:Author>
        <b:Corporate>INEC</b:Corporate>
      </b:Author>
    </b:Author>
    <b:Title>Encuesta de Manufactura y Minería  "Síntesis Metodología"</b:Title>
    <b:InternetSiteTitle>Ecuador en cifras</b:InternetSiteTitle>
    <b:Year>2015 c</b:Year>
    <b:URL>http://www.ecuadorencifras.gob.ec/documentos/web-inec/Estadisticas_Economicas/Encuesta_Estructural_Empresarial/2016/Tomo_I/2016_ENESEM_Metodologia.pdf</b:URL>
    <b:YearAccessed>2019</b:YearAccessed>
    <b:MonthAccessed>4</b:MonthAccessed>
    <b:DayAccessed>22</b:DayAccessed>
    <b:RefOrder>11</b:RefOrder>
  </b:Source>
  <b:Source>
    <b:Tag>Ine20</b:Tag>
    <b:SourceType>InternetSite</b:SourceType>
    <b:Guid>{8CD53478-183D-4CFD-9D5C-92741D7E5099}</b:Guid>
    <b:Author>
      <b:Author>
        <b:Corporate>INEC</b:Corporate>
      </b:Author>
    </b:Author>
    <b:Title>Comisiones</b:Title>
    <b:InternetSiteTitle>Comisiones Especiales de Estadística</b:InternetSiteTitle>
    <b:Year>2020</b:Year>
    <b:Month>02</b:Month>
    <b:Day>05</b:Day>
    <b:URL>https://www.ecuadorencifras.gob.ec/comisiones-especiales-de-estadistica/</b:URL>
    <b:RefOrder>12</b:RefOrder>
  </b:Source>
  <b:Source>
    <b:Tag>INE121</b:Tag>
    <b:SourceType>Book</b:SourceType>
    <b:Guid>{02E16DB3-8854-46AE-A4A2-D03D9FC2CB00}</b:Guid>
    <b:Author>
      <b:Author>
        <b:Corporate>INEC</b:Corporate>
      </b:Author>
    </b:Author>
    <b:Title>Clasificación Nacional de Actividades Económicas (CIIU-Revisión 4.0) Tomo 1</b:Title>
    <b:Year>2012 a</b:Year>
    <b:City>Quito</b:City>
    <b:Publisher>SPEEDGRAPH IMPRENTA</b:Publisher>
    <b:RefOrder>14</b:RefOrder>
  </b:Source>
  <b:Source>
    <b:Tag>Ins14</b:Tag>
    <b:SourceType>InternetSite</b:SourceType>
    <b:Guid>{859F3931-C24F-45C1-AB5C-C75903A3A2C0}</b:Guid>
    <b:Author>
      <b:Author>
        <b:Corporate>INEGI</b:Corporate>
      </b:Author>
    </b:Author>
    <b:InternetSiteTitle>Metodología Censos Económicos</b:InternetSiteTitle>
    <b:Year>2014</b:Year>
    <b:YearAccessed>2018</b:YearAccessed>
    <b:MonthAccessed>03</b:MonthAccessed>
    <b:DayAccessed>27</b:DayAccessed>
    <b:URL>http://www.beta.inegi.org.mx/app/biblioteca/ficha.html?upc=702825075330</b:URL>
    <b:RefOrder>27</b:RefOrder>
  </b:Source>
  <b:Source>
    <b:Tag>MarcadorDePosición24</b:Tag>
    <b:SourceType>DocumentFromInternetSite</b:SourceType>
    <b:Guid>{7454E7A9-B133-467B-A9BB-65CBB5B0DF09}</b:Guid>
    <b:Author>
      <b:Author>
        <b:Corporate>INEI</b:Corporate>
      </b:Author>
    </b:Author>
    <b:Year>2010</b:Year>
    <b:Publisher>Ediciones Pirámide</b:Publisher>
    <b:InternetSiteTitle>CLasificación Industrial Internacional Uniforme</b:InternetSiteTitle>
    <b:Title>Instituto Nacional de Estadística e Informática</b:Title>
    <b:URL>https://www.inei.gob.pe/media/MenuRecursivo/publicaciones_digitales/Est/Lib0883/Libro.pdf</b:URL>
    <b:YearAccessed>2019</b:YearAccessed>
    <b:MonthAccessed>04</b:MonthAccessed>
    <b:DayAccessed>12</b:DayAccessed>
    <b:RefOrder>15</b:RefOrder>
  </b:Source>
  <b:Source>
    <b:Tag>Fon01</b:Tag>
    <b:SourceType>DocumentFromInternetSite</b:SourceType>
    <b:Guid>{2AB230CA-CFE5-47F9-A587-618FCBB6841D}</b:Guid>
    <b:Author>
      <b:Author>
        <b:Corporate>FMI</b:Corporate>
      </b:Author>
    </b:Author>
    <b:Year>2001</b:Year>
    <b:Title>Fondo Monetario Internacional: Manual de Estadísticas Monetarias y Financieras</b:Title>
    <b:URL>https://www.imf.org/external/pubs/ft/mfs/manual/esl/pdf/mfsmch8s.pdf</b:URL>
    <b:YearAccessed>2019</b:YearAccessed>
    <b:MonthAccessed>28</b:MonthAccessed>
    <b:DayAccessed>03</b:DayAccessed>
    <b:RefOrder>16</b:RefOrder>
  </b:Source>
  <b:Source>
    <b:Tag>Lar08</b:Tag>
    <b:SourceType>Book</b:SourceType>
    <b:Guid>{BC9B24D6-5536-4858-80BD-6D94BABDCD91}</b:Guid>
    <b:Author>
      <b:Author>
        <b:NameList>
          <b:Person>
            <b:Last>Lara</b:Last>
            <b:First>Elias</b:First>
          </b:Person>
        </b:NameList>
      </b:Author>
    </b:Author>
    <b:Title>Primer curso de contabilidad</b:Title>
    <b:Year>2008</b:Year>
    <b:City>Trillas</b:City>
    <b:Publisher>22a</b:Publisher>
    <b:RefOrder>17</b:RefOrder>
  </b:Source>
  <b:Source>
    <b:Tag>Piq78</b:Tag>
    <b:SourceType>JournalArticle</b:SourceType>
    <b:Guid>{8FBCBD29-01D5-4685-A866-B146DADFC772}</b:Guid>
    <b:Title>La Problemática de la Amortización</b:Title>
    <b:Year>1978</b:Year>
    <b:Author>
      <b:Author>
        <b:NameList>
          <b:Person>
            <b:Last>Pique</b:Last>
            <b:First>R</b:First>
          </b:Person>
        </b:NameList>
      </b:Author>
    </b:Author>
    <b:JournalName>REVISTA ESPAÑOLA DE FINANCIACIÓN Y CONTABILIDAD</b:JournalName>
    <b:Pages>59-82</b:Pages>
    <b:RefOrder>18</b:RefOrder>
  </b:Source>
  <b:Source xmlns:b="http://schemas.openxmlformats.org/officeDocument/2006/bibliography">
    <b:Tag>MarcadorDePosición25</b:Tag>
    <b:SourceType>DocumentFromInternetSite</b:SourceType>
    <b:Guid>{2564E55A-B492-4604-8B41-10189821A7A2}</b:Guid>
    <b:Author>
      <b:Author>
        <b:Corporate>ONU</b:Corporate>
      </b:Author>
    </b:Author>
    <b:Year>2009</b:Year>
    <b:URL>https://unstats.un.org/unsd/publication/seriesm/seriesm_4rev4s.pdf</b:URL>
    <b:Title>Clasificación Industria Uniforme (CIIU)</b:Title>
    <b:YearAccessed>2019</b:YearAccessed>
    <b:MonthAccessed>28</b:MonthAccessed>
    <b:DayAccessed>3</b:DayAccessed>
    <b:RefOrder>19</b:RefOrder>
  </b:Source>
  <b:Source>
    <b:Tag>MarcadorDePosición26</b:Tag>
    <b:SourceType>DocumentFromInternetSite</b:SourceType>
    <b:Guid>{C5E993CC-B530-475A-9454-6C6D2530DB90}</b:Guid>
    <b:Author>
      <b:Author>
        <b:Corporate>ONU</b:Corporate>
      </b:Author>
    </b:Author>
    <b:Year>2015</b:Year>
    <b:URL>https://rtc-cea.cepal.org/sites/default/files/document/files/CPC-21-p1-Trad%20espa%C3%B1ol-mar17.pdf</b:URL>
    <b:Title>Clasificación Central de Productos (CPC), Versión 2.1</b:Title>
    <b:YearAccessed>2019</b:YearAccessed>
    <b:MonthAccessed>04</b:MonthAccessed>
    <b:DayAccessed>10</b:DayAccessed>
    <b:RefOrder>42</b:RefOrder>
  </b:Source>
  <b:Source>
    <b:Tag>ONU8c</b:Tag>
    <b:SourceType>DocumentFromInternetSite</b:SourceType>
    <b:Guid>{6C1EC164-2F79-4C00-8D27-0159D5E94FB5}</b:Guid>
    <b:Author>
      <b:Author>
        <b:NameList>
          <b:Person>
            <b:Last>ONU</b:Last>
          </b:Person>
        </b:NameList>
      </b:Author>
    </b:Author>
    <b:Title>Recomendaciones internacionales sobre estadísticas del comercio de distribución2008</b:Title>
    <b:Year>2008 a</b:Year>
    <b:YearAccessed>2019</b:YearAccessed>
    <b:MonthAccessed>4</b:MonthAccessed>
    <b:DayAccessed>18</b:DayAccessed>
    <b:URL>https://unstats.un.org/unsd/publication/SeriesM/Seriesm_89s.pdf</b:URL>
    <b:RefOrder>43</b:RefOrder>
  </b:Source>
  <b:Source>
    <b:Tag>Ped19</b:Tag>
    <b:SourceType>InternetSite</b:SourceType>
    <b:Guid>{64793677-83CC-4123-91C4-0E3C34DD670E}</b:Guid>
    <b:Title>RockContent</b:Title>
    <b:Year>2019</b:Year>
    <b:Month>06</b:Month>
    <b:Day>01</b:Day>
    <b:Author>
      <b:Author>
        <b:NameList>
          <b:Person>
            <b:Last>Guajardo</b:Last>
            <b:First>Pedro</b:First>
          </b:Person>
        </b:NameList>
      </b:Author>
    </b:Author>
    <b:InternetSiteTitle>Rock Content Internacional</b:InternetSiteTitle>
    <b:YearAccessed>2020</b:YearAccessed>
    <b:MonthAccessed>03</b:MonthAccessed>
    <b:DayAccessed>30</b:DayAccessed>
    <b:URL>https://rockcontent.com/es/blog/transformacion-digital/</b:URL>
    <b:RefOrder>22</b:RefOrder>
  </b:Source>
  <b:Source>
    <b:Tag>MarcadorDePosición23</b:Tag>
    <b:SourceType>InternetSite</b:SourceType>
    <b:Guid>{F8558609-847A-411D-9342-8AF542089B7E}</b:Guid>
    <b:Author>
      <b:Author>
        <b:Corporate>ONU</b:Corporate>
      </b:Author>
    </b:Author>
    <b:Year>2008 b</b:Year>
    <b:Title>Sistema de Cuentas Nacionales</b:Title>
    <b:URL>https://www.cepal.org/sites/default/files/document/files/sna2008_web.pdf</b:URL>
    <b:YearAccessed>2019</b:YearAccessed>
    <b:MonthAccessed>4</b:MonthAccessed>
    <b:DayAccessed>17</b:DayAccessed>
    <b:RefOrder>23</b:RefOrder>
  </b:Source>
  <b:Source>
    <b:Tag>Jul08</b:Tag>
    <b:SourceType>Book</b:SourceType>
    <b:Guid>{0D80A9E6-BFE5-438E-B5E9-BB90FB34298D}</b:Guid>
    <b:Author>
      <b:Author>
        <b:NameList>
          <b:Person>
            <b:Last>Porto</b:Last>
            <b:First>Julián</b:First>
            <b:Middle>Pérez</b:Middle>
          </b:Person>
        </b:NameList>
      </b:Author>
    </b:Author>
    <b:Title>Definición de Costo</b:Title>
    <b:Year>2008</b:Year>
    <b:RefOrder>24</b:RefOrder>
  </b:Source>
  <b:Source xmlns:b="http://schemas.openxmlformats.org/officeDocument/2006/bibliography">
    <b:Tag>Lic09</b:Tag>
    <b:SourceType>InternetSite</b:SourceType>
    <b:Guid>{AEDA603B-CDFD-4864-89BE-2F682A9A5212}</b:Guid>
    <b:Author>
      <b:Author>
        <b:NameList>
          <b:Person>
            <b:Last>Fernández</b:Last>
            <b:First>Anaida</b:First>
          </b:Person>
        </b:NameList>
      </b:Author>
    </b:Author>
    <b:Title>La Contabilidad de Costos</b:Title>
    <b:InternetSiteTitle>La Contabilidad de Costos</b:InternetSiteTitle>
    <b:Year>2009</b:Year>
    <b:YearAccessed>2018</b:YearAccessed>
    <b:MonthAccessed>03</b:MonthAccessed>
    <b:DayAccessed>27</b:DayAccessed>
    <b:URL>http://www.monografias.com/trabajos82/la-contabilidad-de-costos/la-contabilidad-de-costos2.shtml</b:URL>
    <b:RefOrder>25</b:RefOrder>
  </b:Source>
  <b:Source>
    <b:Tag>Car19</b:Tag>
    <b:SourceType>DocumentFromInternetSite</b:SourceType>
    <b:Guid>{A87DC3D5-EB7B-43A8-94B8-40FB2A961205}</b:Guid>
    <b:Author>
      <b:Author>
        <b:Corporate>CEPAL</b:Corporate>
      </b:Author>
    </b:Author>
    <b:Year>2019</b:Year>
    <b:Month>Marzo</b:Month>
    <b:URL>https://repositorio.cepal.org/bitstream/handle/11362/44507/S1900116_es.pdf?sequence=1&amp;isAllowed=y</b:URL>
    <b:Title>Caracterización de la demanda laboral en el Ecuador</b:Title>
    <b:RefOrder>26</b:RefOrder>
  </b:Source>
  <b:Source>
    <b:Tag>SRI17</b:Tag>
    <b:SourceType>DocumentFromInternetSite</b:SourceType>
    <b:Guid>{A0C91EC8-8D1D-44A9-8BD4-E2C2016D5323}</b:Guid>
    <b:Title> Guía para contribuyentes formulario 101</b:Title>
    <b:Year>2017</b:Year>
    <b:Author>
      <b:Author>
        <b:Corporate>SRI</b:Corporate>
      </b:Author>
    </b:Author>
    <b:InternetSiteTitle>http://www.sri.gob.ec/web/guest/10094</b:InternetSiteTitle>
    <b:Month>03</b:Month>
    <b:Day>01</b:Day>
    <b:YearAccessed>2017</b:YearAccessed>
    <b:MonthAccessed>03</b:MonthAccessed>
    <b:DayAccessed>29</b:DayAccessed>
    <b:URL>http://www.sri.gob.ec/web/guest/10094</b:URL>
    <b:RefOrder>28</b:RefOrder>
  </b:Source>
  <b:Source>
    <b:Tag>INE122</b:Tag>
    <b:SourceType>InternetSite</b:SourceType>
    <b:Guid>{AA2806C8-B129-4E94-940F-466F7BEFEB96}</b:Guid>
    <b:Title>Clasificación Nacional de Ocupaciones CIUO 8</b:Title>
    <b:Year>2012 b</b:Year>
    <b:Author>
      <b:Author>
        <b:Corporate>INEC</b:Corporate>
      </b:Author>
    </b:Author>
    <b:JournalName>Unidad de Análisis de Síntesis</b:JournalName>
    <b:Pages>37</b:Pages>
    <b:Month>6</b:Month>
    <b:YearAccessed>2017</b:YearAccessed>
    <b:MonthAccessed>4</b:MonthAccessed>
    <b:URL>http://aplicaciones2.ecuadorencifras.gob.ec/SIN/metodologias/CIUO%2008.pdf</b:URL>
    <b:DayAccessed>15</b:DayAccessed>
    <b:RefOrder>29</b:RefOrder>
  </b:Source>
  <b:Source>
    <b:Tag>Moy99</b:Tag>
    <b:SourceType>Book</b:SourceType>
    <b:Guid>{BB5238DE-85DD-4A6E-B711-2280F4397809}</b:Guid>
    <b:Author>
      <b:Author>
        <b:NameList>
          <b:Person>
            <b:Last>Moya</b:Last>
            <b:First>Navarro</b:First>
          </b:Person>
          <b:Person>
            <b:Last>Marcos</b:Last>
            <b:First>Javier</b:First>
          </b:Person>
        </b:NameList>
      </b:Author>
    </b:Author>
    <b:Title>Control de inventarios y teoría de colas</b:Title>
    <b:Year>1999</b:Year>
    <b:RefOrder>30</b:RefOrder>
  </b:Source>
  <b:Source>
    <b:Tag>INEC</b:Tag>
    <b:SourceType>ElectronicSource</b:SourceType>
    <b:Guid>{A5ABC675-6A2D-4BBA-9114-348329298A74}</b:Guid>
    <b:Author>
      <b:Author>
        <b:Corporate>INEC</b:Corporate>
      </b:Author>
    </b:Author>
    <b:City>Quito</b:City>
    <b:CountryRegion>Ecuador</b:CountryRegion>
    <b:Year>2011</b:Year>
    <b:Month>04</b:Month>
    <b:Title>Metodología, Conceptos y Estrategia</b:Title>
    <b:Day>10</b:Day>
    <b:RefOrder>31</b:RefOrder>
  </b:Source>
  <b:Source>
    <b:Tag>INE20</b:Tag>
    <b:SourceType>DocumentFromInternetSite</b:SourceType>
    <b:Guid>{01959322-324F-4634-821C-E8268C154598}</b:Guid>
    <b:Author>
      <b:Author>
        <b:Corporate>INEC</b:Corporate>
      </b:Author>
    </b:Author>
    <b:Title>Encuesta Estructural Empresarial 2016 "Metodología"</b:Title>
    <b:InternetSiteTitle>http://www.ecuadorencifras.gob.ec</b:InternetSiteTitle>
    <b:Year>2018</b:Year>
    <b:URL>http://www.ecuadorencifras.gob.ec/documentos/web-inec/Estadisticas_Economicas/Encuesta_Estructural_Empresarial/2016/Tomo_I/2016_ENESEM_Metodologia.pdf</b:URL>
    <b:YearAccessed>2019</b:YearAccessed>
    <b:MonthAccessed>28</b:MonthAccessed>
    <b:DayAccessed>3</b:DayAccessed>
    <b:RefOrder>32</b:RefOrder>
  </b:Source>
  <b:Source>
    <b:Tag>INE22</b:Tag>
    <b:SourceType>Report</b:SourceType>
    <b:Guid>{0A81EDE1-4134-49C3-AA47-0326B89BAB83}</b:Guid>
    <b:Author>
      <b:Author>
        <b:Corporate>INEC</b:Corporate>
      </b:Author>
    </b:Author>
    <b:Title>Diseño muestral ENESEM 2022</b:Title>
    <b:Year>2022</b:Year>
    <b:City>Quito</b:City>
    <b:RefOrder>33</b:RefOrder>
  </b:Source>
  <b:Source>
    <b:Tag>OIT05</b:Tag>
    <b:SourceType>InternetSite</b:SourceType>
    <b:Guid>{1237EA1D-027D-4E20-9BED-8D12A825370E}</b:Guid>
    <b:Author>
      <b:Author>
        <b:Corporate>OIT</b:Corporate>
      </b:Author>
    </b:Author>
    <b:Title>Organización Internacional del Trabajo</b:Title>
    <b:InternetSiteTitle>Clasificación Internacional Uniforme de Ocupaciones (CIUO)</b:InternetSiteTitle>
    <b:Year>2005</b:Year>
    <b:YearAccessed>2019</b:YearAccessed>
    <b:MonthAccessed>03</b:MonthAccessed>
    <b:DayAccessed>20</b:DayAccessed>
    <b:URL>https://www.ilo.org/public/spanish/bureau/stat/isco/index.htm</b:URL>
    <b:RefOrder>34</b:RefOrder>
  </b:Source>
  <b:Source>
    <b:Tag>Nac08</b:Tag>
    <b:SourceType>InternetSite</b:SourceType>
    <b:Guid>{746F7A1B-847C-44F8-B2E8-81211CA81A57}</b:Guid>
    <b:Author>
      <b:Author>
        <b:Corporate>ONU</b:Corporate>
      </b:Author>
    </b:Author>
    <b:Title>Recomendaciones internacionales para estadísticas industriales</b:Title>
    <b:Year>2008 c</b:Year>
    <b:YearAccessed>2019</b:YearAccessed>
    <b:MonthAccessed>28</b:MonthAccessed>
    <b:DayAccessed>3</b:DayAccessed>
    <b:URL>https://unstats.un.org/unsd/publication/seriesM/seriesm_90s.pdf</b:URL>
    <b:RefOrder>35</b:RefOrder>
  </b:Source>
  <b:Source>
    <b:Tag>Val18</b:Tag>
    <b:SourceType>JournalArticle</b:SourceType>
    <b:Guid>{20C144C2-883D-4218-834E-83DA4A5F0C66}</b:Guid>
    <b:Author>
      <b:Author>
        <b:NameList>
          <b:Person>
            <b:Last>Valet</b:Last>
            <b:First>Peter</b:First>
          </b:Person>
          <b:Person>
            <b:Last>Adriaans</b:Last>
            <b:First>Jule</b:First>
          </b:Person>
          <b:Person>
            <b:Last>Liebig</b:Last>
            <b:First>Stefan</b:First>
          </b:Person>
        </b:NameList>
      </b:Author>
    </b:Author>
    <b:Title>Comparing survey data and administrative records on gross earnings: nonreporting, misreporting, interviewer presence and earnings inequality</b:Title>
    <b:Year>2018</b:Year>
    <b:JournalName>Quality &amp; Quantity</b:JournalName>
    <b:Pages>471-491</b:Pages>
    <b:DOI>https://doi.org/10.1007/s11135-018-0764-z</b:DOI>
    <b:RefOrder>36</b:RefOrder>
  </b:Source>
  <b:Source>
    <b:Tag>MarcadorDePosición3</b:Tag>
    <b:SourceType>Report</b:SourceType>
    <b:Guid>{5FB6D7B0-6DF8-4FF3-A5C1-03263236F8E2}</b:Guid>
    <b:Title>Estrategias de recolección de información e imputación en Encuestas Económicas</b:Title>
    <b:Year>2022</b:Year>
    <b:Author>
      <b:Author>
        <b:Corporate>INEGI</b:Corporate>
      </b:Author>
    </b:Author>
    <b:RefOrder>37</b:RefOrder>
  </b:Source>
  <b:Source>
    <b:Tag>CON08</b:Tag>
    <b:SourceType>Book</b:SourceType>
    <b:Guid>{099CFAEE-3FA4-4349-86C0-E270C569B6EC}</b:Guid>
    <b:Author>
      <b:Author>
        <b:Corporate>CRE</b:Corporate>
      </b:Author>
    </b:Author>
    <b:Title>Constitucion de la Republica del Ecuador</b:Title>
    <b:Year>2008</b:Year>
    <b:RefOrder>38</b:RefOrder>
  </b:Source>
  <b:Source>
    <b:Tag>Ins18</b:Tag>
    <b:SourceType>DocumentFromInternetSite</b:SourceType>
    <b:Guid>{5B5A3FCA-B6B1-42D4-BC64-17CD7BA49D3F}</b:Guid>
    <b:Title>Documento Metodológico</b:Title>
    <b:Year>2018</b:Year>
    <b:Author>
      <b:Author>
        <b:Corporate>INEC</b:Corporate>
      </b:Author>
    </b:Author>
    <b:Month>abril</b:Month>
    <b:URL>http://www.ecuadorencifras.gob.ec/documentos/web-inec/Estadisticas_Economicas/Encuesta_Estructural_Empresarial/2016/Tomo_I/2016_ENESEM_Metodologia.pdf</b:URL>
    <b:RefOrder>39</b:RefOrder>
  </b:Source>
  <b:Source>
    <b:Tag>MarcadorDePosición1</b:Tag>
    <b:SourceType>Book</b:SourceType>
    <b:Guid>{8E76F791-5F6D-4273-9113-4999957608F0}</b:Guid>
    <b:Author>
      <b:Author>
        <b:NameList>
          <b:Person>
            <b:Last>Asenjo</b:Last>
            <b:First>Óscar</b:First>
            <b:Middle>Dejuán</b:Middle>
          </b:Person>
        </b:NameList>
      </b:Author>
    </b:Author>
    <b:Year>2012</b:Year>
    <b:Title>Economía : fundamentos y claves de interpretación</b:Title>
    <b:Publisher>Ediciones Pirámide</b:Publisher>
    <b:RefOrder>44</b:RefOrder>
  </b:Source>
  <b:Source>
    <b:Tag>INE211</b:Tag>
    <b:SourceType>Report</b:SourceType>
    <b:Guid>{295C5863-2490-4AB8-9524-63478620ADC5}</b:Guid>
    <b:Title>Estrategias de recolección de información e imputación en Encuestas Económicas</b:Title>
    <b:Year>2021</b:Year>
    <b:Author>
      <b:Author>
        <b:Corporate>INEGI</b:Corporate>
      </b:Author>
    </b:Author>
    <b:RefOrder>45</b:RefOrder>
  </b:Source>
  <b:Source>
    <b:Tag>eyd76</b:Tag>
    <b:SourceType>InternetSite</b:SourceType>
    <b:Guid>{CE24124D-00F4-4A3F-BDBF-AF999A20082E}</b:Guid>
    <b:Author>
      <b:Author>
        <b:Corporate>Ley de Estadística Nacional</b:Corporate>
      </b:Author>
    </b:Author>
    <b:Year>1976</b:Year>
    <b:URL>https://www.bce.fin.ec/index.php/component/k2/item/348-ley-de-estad%C3%ADstica</b:URL>
    <b:RefOrder>46</b:RefOrder>
  </b:Source>
  <b:Source>
    <b:Tag>LOP21</b:Tag>
    <b:SourceType>InternetSite</b:SourceType>
    <b:Guid>{DF139404-3BFC-4FE3-B993-CCFB56D8F244}</b:Guid>
    <b:Author>
      <b:Author>
        <b:NameList>
          <b:Person>
            <b:Last>LOPDP</b:Last>
          </b:Person>
        </b:NameList>
      </b:Author>
    </b:Author>
    <b:Title>LEY ORGÁNICA DE PROTECCIÓN DE DATOS PERSONALES</b:Title>
    <b:Year>2021</b:Year>
    <b:URL>https://www.finanzaspopulares.gob.ec/wp-content/uploads/2021/07/ley_organica_de_proteccion_de_datos_personales.pdf</b:URL>
    <b:RefOrder>47</b:RefOrder>
  </b:Source>
  <b:Source>
    <b:Tag>CEP13</b:Tag>
    <b:SourceType>Report</b:SourceType>
    <b:Guid>{8066B2D3-4CA8-4263-9922-9F5D75E3A223}</b:Guid>
    <b:Author>
      <b:Author>
        <b:NameList>
          <b:Person>
            <b:Last>CEPAL</b:Last>
          </b:Person>
        </b:NameList>
      </b:Author>
    </b:Author>
    <b:Title>Compendio de recomendaciones técnicas y buenas prácticas para el desarrollo de los directorios de empresas y establecimientos</b:Title>
    <b:Year>2013</b:Year>
    <b:RefOrder>41</b:RefOrder>
  </b:Source>
  <b:Source>
    <b:Tag>Ley76</b:Tag>
    <b:SourceType>InternetSite</b:SourceType>
    <b:Guid>{4897F2F6-FC9F-4187-AF2D-0969B9720663}</b:Guid>
    <b:Author>
      <b:Author>
        <b:Corporate>Ley de Estadística</b:Corporate>
      </b:Author>
    </b:Author>
    <b:Title>Decreto Supremo 323</b:Title>
    <b:Year>1976</b:Year>
    <b:URL>https://www.ecuadorencifras.gob.ec/LOTAIP/2015/DIJU/septiembre/LA2_SEP_DIJU_LeyEstadistica.pdf</b:URL>
    <b:RefOrder>13</b:RefOrder>
  </b:Source>
  <b:Source>
    <b:Tag>Reg22</b:Tag>
    <b:SourceType>InternetSite</b:SourceType>
    <b:Guid>{AF6033C2-B8EF-4E1B-A14B-3E65E1CE0BF4}</b:Guid>
    <b:Title>Instituto Nacional De Estadística y Censos</b:Title>
    <b:Year>2022</b:Year>
    <b:Author>
      <b:Author>
        <b:NameList>
          <b:Person>
            <b:Last>(REEM)</b:Last>
            <b:First>Registro</b:First>
            <b:Middle>Estadístico de Empresas</b:Middle>
          </b:Person>
        </b:NameList>
      </b:Author>
    </b:Author>
    <b:URL>https://www.ecuadorencifras.gob.ec/directoriodeempresas/</b:URL>
    <b:RefOrder>48</b:RefOrder>
  </b:Source>
  <b:Source>
    <b:Tag>INE21</b:Tag>
    <b:SourceType>Book</b:SourceType>
    <b:Guid>{788DAF54-1118-4CD3-97D4-A54404BD1F5E}</b:Guid>
    <b:Author>
      <b:Author>
        <b:Corporate>INEC</b:Corporate>
      </b:Author>
    </b:Author>
    <b:Title>Registro Estadístico de Empresas (REEM)</b:Title>
    <b:Year>2022</b:Year>
    <b:Publisher>https://www.ecuadorencifras.gob.ec/directoriodeempresas/</b:Publisher>
    <b:RefOrder>49</b:RefOrder>
  </b:Source>
  <b:Source>
    <b:Tag>Org15</b:Tag>
    <b:SourceType>InternetSite</b:SourceType>
    <b:Guid>{FF859869-249E-4026-A867-DA1E40E6A173}</b:Guid>
    <b:Author>
      <b:Author>
        <b:Corporate>Organización de Naciones Unidas</b:Corporate>
      </b:Author>
    </b:Author>
    <b:Title>Clasificación Central de Productos (CPC)</b:Title>
    <b:Year>2015</b:Year>
    <b:URL>https://rtc-cea.cepal.org/sites/default/files/document/files/CPC-21-p1-Trad%20espa%C3%B1ol-mar17.pdf</b:URL>
    <b:RefOrder>20</b:RefOrder>
  </b:Source>
  <b:Source>
    <b:Tag>Org10</b:Tag>
    <b:SourceType>InternetSite</b:SourceType>
    <b:Guid>{427D0061-1FD5-4179-B22D-9B7084D124C9}</b:Guid>
    <b:Author>
      <b:Author>
        <b:Corporate>Organización de las Naciones Unidas</b:Corporate>
      </b:Author>
    </b:Author>
    <b:Title>Recomendaciones internacionales sobre estadísticas del comercio de distribución 2008</b:Title>
    <b:Year>2010</b:Year>
    <b:URL>https://unstats.un.org/unsd/publication/SeriesM/Seriesm_89s.pdf</b:URL>
    <b:RefOrder>21</b:RefOrder>
  </b:Source>
  <b:Source>
    <b:Tag>Elo10</b:Tag>
    <b:SourceType>Report</b:SourceType>
    <b:Guid>{455A0A61-F00F-4833-9901-DEFF74277608}</b:Guid>
    <b:Title>Consultoría para la planificación del Censo Nacional Económico 2010 (CENEC 2010) y el Censo de Población y Vivienda 2010 (CPV)</b:Title>
    <b:Year>2010</b:Year>
    <b:Author>
      <b:Author>
        <b:NameList>
          <b:Person>
            <b:Last>Elosegui</b:Last>
            <b:First>P</b:First>
          </b:Person>
        </b:NameList>
      </b:Author>
    </b:Author>
    <b:City>Quito</b:City>
    <b:RefOrder>40</b:RefOrder>
  </b:Source>
</b:Sources>
</file>

<file path=customXml/itemProps1.xml><?xml version="1.0" encoding="utf-8"?>
<ds:datastoreItem xmlns:ds="http://schemas.openxmlformats.org/officeDocument/2006/customXml" ds:itemID="{B39ABDCF-2DA3-4766-B8B1-99577B17B5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84</Pages>
  <Words>25390</Words>
  <Characters>139647</Characters>
  <Application>Microsoft Office Word</Application>
  <DocSecurity>0</DocSecurity>
  <Lines>1163</Lines>
  <Paragraphs>329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164708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Diana Montalvan</cp:lastModifiedBy>
  <cp:revision>23</cp:revision>
  <cp:lastPrinted>2024-01-31T02:50:00Z</cp:lastPrinted>
  <dcterms:created xsi:type="dcterms:W3CDTF">2024-03-14T17:40:00Z</dcterms:created>
  <dcterms:modified xsi:type="dcterms:W3CDTF">2024-03-25T16:19:00Z</dcterms:modified>
</cp:coreProperties>
</file>